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73CF" w14:textId="77777777" w:rsidR="007253AC" w:rsidRDefault="007253AC">
      <w:pPr>
        <w:keepNext/>
        <w:autoSpaceDE w:val="0"/>
        <w:autoSpaceDN w:val="0"/>
        <w:rPr>
          <w:vanish/>
          <w:sz w:val="2"/>
          <w:szCs w:val="2"/>
        </w:rPr>
      </w:pPr>
      <w:bookmarkStart w:id="0" w:name="_Page_1_0"/>
      <w:bookmarkEnd w:id="0"/>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7253AC" w14:paraId="089AF472" w14:textId="77777777">
        <w:trPr>
          <w:trHeight w:hRule="exact" w:val="226"/>
        </w:trPr>
        <w:tc>
          <w:tcPr>
            <w:tcW w:w="10544" w:type="dxa"/>
            <w:shd w:val="clear" w:color="auto" w:fill="auto"/>
            <w:noWrap/>
            <w:tcMar>
              <w:left w:w="56" w:type="dxa"/>
              <w:right w:w="56" w:type="dxa"/>
            </w:tcMar>
            <w:vAlign w:val="center"/>
          </w:tcPr>
          <w:p w14:paraId="619ABEEA" w14:textId="77777777" w:rsidR="007253AC" w:rsidRDefault="007253AC">
            <w:pPr>
              <w:keepNext/>
              <w:autoSpaceDE w:val="0"/>
              <w:autoSpaceDN w:val="0"/>
              <w:jc w:val="both"/>
              <w:rPr>
                <w:rFonts w:ascii="Arial" w:eastAsia="Arial" w:hAnsi="Arial" w:cs="Arial"/>
                <w:color w:val="000000"/>
                <w:sz w:val="16"/>
              </w:rPr>
            </w:pPr>
          </w:p>
        </w:tc>
      </w:tr>
      <w:tr w:rsidR="007253AC" w14:paraId="1766B702" w14:textId="77777777">
        <w:trPr>
          <w:trHeight w:hRule="exact" w:val="453"/>
        </w:trPr>
        <w:tc>
          <w:tcPr>
            <w:tcW w:w="10544" w:type="dxa"/>
            <w:shd w:val="clear" w:color="auto" w:fill="auto"/>
            <w:noWrap/>
            <w:tcMar>
              <w:left w:w="56" w:type="dxa"/>
              <w:right w:w="56" w:type="dxa"/>
            </w:tcMar>
            <w:vAlign w:val="center"/>
          </w:tcPr>
          <w:p w14:paraId="3BA0804C" w14:textId="77777777" w:rsidR="007253AC" w:rsidRDefault="007253AC">
            <w:pPr>
              <w:keepNext/>
              <w:autoSpaceDE w:val="0"/>
              <w:autoSpaceDN w:val="0"/>
              <w:rPr>
                <w:rFonts w:ascii="Arial" w:eastAsia="Arial" w:hAnsi="Arial" w:cs="Arial"/>
                <w:color w:val="000000"/>
                <w:sz w:val="16"/>
              </w:rPr>
            </w:pPr>
          </w:p>
        </w:tc>
      </w:tr>
      <w:tr w:rsidR="007253AC" w14:paraId="1B82A093" w14:textId="77777777">
        <w:trPr>
          <w:trHeight w:hRule="exact" w:val="481"/>
        </w:trPr>
        <w:tc>
          <w:tcPr>
            <w:tcW w:w="10544" w:type="dxa"/>
            <w:shd w:val="clear" w:color="auto" w:fill="auto"/>
            <w:noWrap/>
            <w:tcMar>
              <w:left w:w="56" w:type="dxa"/>
              <w:right w:w="56" w:type="dxa"/>
            </w:tcMar>
            <w:vAlign w:val="center"/>
          </w:tcPr>
          <w:p w14:paraId="5A878192" w14:textId="77777777" w:rsidR="007253AC" w:rsidRDefault="00240C9A">
            <w:pPr>
              <w:keepNext/>
              <w:autoSpaceDE w:val="0"/>
              <w:autoSpaceDN w:val="0"/>
              <w:jc w:val="center"/>
            </w:pPr>
            <w:r>
              <w:rPr>
                <w:rFonts w:ascii="Arial" w:eastAsia="Arial" w:hAnsi="Arial" w:cs="Arial"/>
                <w:b/>
                <w:color w:val="000000"/>
                <w:sz w:val="28"/>
              </w:rPr>
              <w:t>Key Investor Information</w:t>
            </w:r>
          </w:p>
        </w:tc>
      </w:tr>
      <w:tr w:rsidR="007253AC" w14:paraId="0745E4DB" w14:textId="77777777">
        <w:trPr>
          <w:trHeight w:hRule="exact" w:val="737"/>
        </w:trPr>
        <w:tc>
          <w:tcPr>
            <w:tcW w:w="10544" w:type="dxa"/>
            <w:shd w:val="clear" w:color="auto" w:fill="auto"/>
            <w:noWrap/>
            <w:tcMar>
              <w:left w:w="56" w:type="dxa"/>
              <w:right w:w="56" w:type="dxa"/>
            </w:tcMar>
          </w:tcPr>
          <w:p w14:paraId="7D56D568" w14:textId="77777777" w:rsidR="007253AC" w:rsidRDefault="00240C9A">
            <w:pPr>
              <w:keepLines/>
              <w:autoSpaceDE w:val="0"/>
              <w:autoSpaceDN w:val="0"/>
              <w:jc w:val="both"/>
            </w:pPr>
            <w:r>
              <w:rPr>
                <w:rFonts w:ascii="Arial" w:eastAsia="Arial" w:hAnsi="Arial" w:cs="Arial"/>
                <w:b/>
                <w:color w:val="000000"/>
                <w:sz w:val="16"/>
              </w:rPr>
              <w:t xml:space="preserve">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 </w:t>
            </w:r>
          </w:p>
        </w:tc>
      </w:tr>
    </w:tbl>
    <w:p w14:paraId="1F695298" w14:textId="77777777" w:rsidR="007253AC" w:rsidRDefault="007253A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7253AC" w14:paraId="55568758" w14:textId="77777777">
        <w:trPr>
          <w:trHeight w:hRule="exact" w:val="340"/>
        </w:trPr>
        <w:tc>
          <w:tcPr>
            <w:tcW w:w="10544" w:type="dxa"/>
            <w:shd w:val="solid" w:color="C0C0C0" w:fill="auto"/>
            <w:tcMar>
              <w:left w:w="56" w:type="dxa"/>
              <w:right w:w="56" w:type="dxa"/>
            </w:tcMar>
            <w:vAlign w:val="center"/>
          </w:tcPr>
          <w:p w14:paraId="26924B11" w14:textId="77777777" w:rsidR="007253AC" w:rsidRDefault="00240C9A">
            <w:pPr>
              <w:keepNext/>
              <w:autoSpaceDE w:val="0"/>
              <w:autoSpaceDN w:val="0"/>
            </w:pPr>
            <w:r>
              <w:rPr>
                <w:rFonts w:ascii="Arial" w:eastAsia="Arial" w:hAnsi="Arial" w:cs="Arial"/>
                <w:b/>
                <w:color w:val="000000"/>
                <w:sz w:val="24"/>
              </w:rPr>
              <w:t>Benguela Global Equity Fund</w:t>
            </w:r>
          </w:p>
        </w:tc>
      </w:tr>
      <w:tr w:rsidR="007253AC" w14:paraId="6BC0444F" w14:textId="77777777">
        <w:trPr>
          <w:trHeight w:hRule="exact" w:val="170"/>
        </w:trPr>
        <w:tc>
          <w:tcPr>
            <w:tcW w:w="10544" w:type="dxa"/>
            <w:shd w:val="solid" w:color="C0C0C0" w:fill="auto"/>
            <w:tcMar>
              <w:left w:w="56" w:type="dxa"/>
              <w:right w:w="56" w:type="dxa"/>
            </w:tcMar>
          </w:tcPr>
          <w:p w14:paraId="73930F56" w14:textId="77777777" w:rsidR="007253AC" w:rsidRDefault="00240C9A">
            <w:pPr>
              <w:keepNext/>
              <w:autoSpaceDE w:val="0"/>
              <w:autoSpaceDN w:val="0"/>
              <w:spacing w:before="3"/>
            </w:pPr>
            <w:r>
              <w:rPr>
                <w:rFonts w:ascii="Arial" w:eastAsia="Arial" w:hAnsi="Arial" w:cs="Arial"/>
                <w:b/>
                <w:color w:val="000000"/>
                <w:sz w:val="16"/>
              </w:rPr>
              <w:t>a sub-Fund of PRESCIENT GLOBAL FUNDS ICAV ("THE ICAV")</w:t>
            </w:r>
          </w:p>
        </w:tc>
      </w:tr>
      <w:tr w:rsidR="007253AC" w14:paraId="6A2B5CC9" w14:textId="77777777">
        <w:trPr>
          <w:trHeight w:hRule="exact" w:val="28"/>
        </w:trPr>
        <w:tc>
          <w:tcPr>
            <w:tcW w:w="10544" w:type="dxa"/>
            <w:shd w:val="solid" w:color="C0C0C0" w:fill="auto"/>
            <w:tcMar>
              <w:left w:w="56" w:type="dxa"/>
              <w:right w:w="56" w:type="dxa"/>
            </w:tcMar>
            <w:vAlign w:val="center"/>
          </w:tcPr>
          <w:p w14:paraId="4A098475" w14:textId="77777777" w:rsidR="007253AC" w:rsidRDefault="007253AC">
            <w:pPr>
              <w:keepNext/>
              <w:autoSpaceDE w:val="0"/>
              <w:autoSpaceDN w:val="0"/>
              <w:rPr>
                <w:rFonts w:ascii="Arial" w:eastAsia="Arial" w:hAnsi="Arial" w:cs="Arial"/>
                <w:b/>
                <w:color w:val="000000"/>
                <w:sz w:val="16"/>
              </w:rPr>
            </w:pPr>
          </w:p>
        </w:tc>
      </w:tr>
      <w:tr w:rsidR="007253AC" w14:paraId="5FE9E290" w14:textId="77777777">
        <w:trPr>
          <w:trHeight w:hRule="exact" w:val="226"/>
        </w:trPr>
        <w:tc>
          <w:tcPr>
            <w:tcW w:w="10544" w:type="dxa"/>
            <w:shd w:val="solid" w:color="D9D9D9" w:fill="auto"/>
            <w:tcMar>
              <w:left w:w="56" w:type="dxa"/>
              <w:right w:w="56" w:type="dxa"/>
            </w:tcMar>
            <w:vAlign w:val="center"/>
          </w:tcPr>
          <w:p w14:paraId="1C937485" w14:textId="23EE795B" w:rsidR="007253AC" w:rsidRDefault="00240C9A">
            <w:pPr>
              <w:keepNext/>
              <w:autoSpaceDE w:val="0"/>
              <w:autoSpaceDN w:val="0"/>
            </w:pPr>
            <w:r>
              <w:rPr>
                <w:rFonts w:ascii="Arial" w:eastAsia="Arial" w:hAnsi="Arial" w:cs="Arial"/>
                <w:b/>
                <w:color w:val="000000"/>
                <w:sz w:val="16"/>
              </w:rPr>
              <w:t xml:space="preserve">ISIN: Share Class: </w:t>
            </w:r>
            <w:r w:rsidR="00C7494C">
              <w:rPr>
                <w:rFonts w:ascii="Arial" w:eastAsia="Arial" w:hAnsi="Arial" w:cs="Arial"/>
                <w:b/>
                <w:color w:val="000000"/>
                <w:sz w:val="16"/>
              </w:rPr>
              <w:t>D</w:t>
            </w:r>
            <w:r>
              <w:rPr>
                <w:rFonts w:ascii="Arial" w:eastAsia="Arial" w:hAnsi="Arial" w:cs="Arial"/>
                <w:b/>
                <w:color w:val="000000"/>
                <w:sz w:val="16"/>
              </w:rPr>
              <w:t xml:space="preserve"> USD</w:t>
            </w:r>
          </w:p>
        </w:tc>
      </w:tr>
      <w:tr w:rsidR="007253AC" w14:paraId="2E7B8E47" w14:textId="77777777">
        <w:trPr>
          <w:trHeight w:hRule="exact" w:val="226"/>
        </w:trPr>
        <w:tc>
          <w:tcPr>
            <w:tcW w:w="10544" w:type="dxa"/>
            <w:shd w:val="solid" w:color="D9D9D9" w:fill="auto"/>
            <w:tcMar>
              <w:left w:w="56" w:type="dxa"/>
              <w:right w:w="56" w:type="dxa"/>
            </w:tcMar>
            <w:vAlign w:val="bottom"/>
          </w:tcPr>
          <w:p w14:paraId="2AA59CC2" w14:textId="77777777" w:rsidR="007253AC" w:rsidRDefault="00240C9A">
            <w:pPr>
              <w:keepNext/>
              <w:autoSpaceDE w:val="0"/>
              <w:autoSpaceDN w:val="0"/>
            </w:pPr>
            <w:r>
              <w:rPr>
                <w:rFonts w:ascii="Arial" w:eastAsia="Arial" w:hAnsi="Arial" w:cs="Arial"/>
                <w:b/>
                <w:color w:val="000000"/>
                <w:sz w:val="16"/>
              </w:rPr>
              <w:t>This Fund is managed by Prescient Fund Services (Ireland) Limited (The "Manager")</w:t>
            </w:r>
          </w:p>
        </w:tc>
      </w:tr>
      <w:tr w:rsidR="007253AC" w14:paraId="14E68420" w14:textId="77777777">
        <w:trPr>
          <w:trHeight w:hRule="exact" w:val="311"/>
        </w:trPr>
        <w:tc>
          <w:tcPr>
            <w:tcW w:w="10544" w:type="dxa"/>
            <w:shd w:val="clear" w:color="auto" w:fill="auto"/>
            <w:tcMar>
              <w:left w:w="56" w:type="dxa"/>
              <w:right w:w="56" w:type="dxa"/>
            </w:tcMar>
            <w:vAlign w:val="center"/>
          </w:tcPr>
          <w:p w14:paraId="550DFE6D" w14:textId="77777777" w:rsidR="007253AC" w:rsidRDefault="007253AC">
            <w:pPr>
              <w:autoSpaceDE w:val="0"/>
              <w:autoSpaceDN w:val="0"/>
              <w:rPr>
                <w:rFonts w:ascii="Arial" w:eastAsia="Arial" w:hAnsi="Arial" w:cs="Arial"/>
                <w:b/>
                <w:color w:val="000000"/>
                <w:sz w:val="16"/>
              </w:rPr>
            </w:pPr>
          </w:p>
        </w:tc>
      </w:tr>
    </w:tbl>
    <w:p w14:paraId="6A678202" w14:textId="77777777" w:rsidR="007253AC" w:rsidRDefault="007253A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7253AC" w14:paraId="5C2A6E87"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1FF38462" w14:textId="77777777" w:rsidR="007253AC" w:rsidRDefault="00240C9A">
            <w:pPr>
              <w:autoSpaceDE w:val="0"/>
              <w:autoSpaceDN w:val="0"/>
            </w:pPr>
            <w:r>
              <w:rPr>
                <w:rFonts w:ascii="Arial" w:eastAsia="Arial" w:hAnsi="Arial" w:cs="Arial"/>
                <w:b/>
                <w:color w:val="000000"/>
                <w:sz w:val="18"/>
              </w:rPr>
              <w:t>Objectives and Investment Policy</w:t>
            </w:r>
          </w:p>
        </w:tc>
      </w:tr>
    </w:tbl>
    <w:p w14:paraId="62DF2375" w14:textId="77777777" w:rsidR="007253AC" w:rsidRDefault="007253AC">
      <w:pPr>
        <w:autoSpaceDE w:val="0"/>
        <w:autoSpaceDN w:val="0"/>
        <w:rPr>
          <w:sz w:val="2"/>
          <w:szCs w:val="2"/>
        </w:rPr>
        <w:sectPr w:rsidR="007253AC">
          <w:headerReference w:type="default" r:id="rId7"/>
          <w:footerReference w:type="default" r:id="rId8"/>
          <w:footnotePr>
            <w:numRestart w:val="eachSect"/>
          </w:footnotePr>
          <w:pgSz w:w="11905" w:h="16837"/>
          <w:pgMar w:top="0" w:right="793" w:bottom="0" w:left="566" w:header="0" w:footer="0" w:gutter="0"/>
          <w:cols w:space="0"/>
        </w:sectPr>
      </w:pPr>
    </w:p>
    <w:p w14:paraId="2560275B" w14:textId="77777777" w:rsidR="007253AC" w:rsidRDefault="00240C9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Fund's objective is to deliver above-average capital growth when compared to the MSCI All Country World Index (the "Benchmark") over the long-term through investment primarily in listed shares. The Fund's objective may be achieved primarily through investment in listed shares of high-quality companies which show potential to outperform the Benchmark.</w:t>
      </w:r>
    </w:p>
    <w:p w14:paraId="74D29E74" w14:textId="77777777" w:rsidR="007253AC" w:rsidRDefault="00240C9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4F15C485" w14:textId="77777777" w:rsidR="007253AC" w:rsidRDefault="00240C9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will predominantly invest, directly or indirectly (using financial derivative instruments and/or underlying funds), in equities (e.g. shares) and equity related securities (e.g. common stock, preference and convertible preference shares), which are listed on a recognised exchange worldwide. Refer to Appendix II of the Prospectus for the full list of recognised exchanges permitted by the Fund.</w:t>
      </w:r>
    </w:p>
    <w:p w14:paraId="1121103D" w14:textId="77777777" w:rsidR="007253AC" w:rsidRDefault="00240C9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C78B98B" w14:textId="77777777" w:rsidR="007253AC" w:rsidRDefault="00240C9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also gain indirect exposure (up to 20% of the Net Asset Value) to commodities, property and infrastructure related securities through investment in funds or companies whose principal business is the ownership, management and/or development of real estate which are listed on a Recognised Exchange. No direct investment will be made in commodities or property.</w:t>
      </w:r>
    </w:p>
    <w:p w14:paraId="7E72EAF9" w14:textId="77777777" w:rsidR="007253AC" w:rsidRDefault="00240C9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19AD5EBA" w14:textId="77777777" w:rsidR="007253AC" w:rsidRDefault="00240C9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invest up to 10% of its Net Asset Value in the units and/or shares of collective investment schemes, including money market funds and open-ended exchange traded funds.</w:t>
      </w:r>
    </w:p>
    <w:p w14:paraId="2B17BA3F" w14:textId="77777777" w:rsidR="007253AC" w:rsidRDefault="00240C9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4850D0F6" w14:textId="77777777" w:rsidR="007253AC" w:rsidRDefault="00240C9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xml:space="preserve">The Fund may hold high levels of cash for cash management purposes and may also invest up to 15% of its Net Asset Value in money market instruments (including fixed or floating rate notes) and </w:t>
      </w:r>
      <w:r>
        <w:rPr>
          <w:rFonts w:ascii="Arial" w:eastAsia="Arial" w:hAnsi="Arial" w:cs="Arial"/>
          <w:color w:val="000000"/>
          <w:sz w:val="16"/>
          <w:szCs w:val="16"/>
        </w:rPr>
        <w:t>cash equivalents (including certificates of deposit). The Fund may also invest in currencies to take exposure for investment purposes.</w:t>
      </w:r>
    </w:p>
    <w:p w14:paraId="5F6D518B" w14:textId="77777777" w:rsidR="007253AC" w:rsidRDefault="00240C9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invest on a global basis and may invest in both developed markets and markets that are still developing.</w:t>
      </w:r>
    </w:p>
    <w:p w14:paraId="7FDE3C13" w14:textId="77777777" w:rsidR="007253AC" w:rsidRDefault="00240C9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BB3AB67" w14:textId="77777777" w:rsidR="007253AC" w:rsidRDefault="00240C9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This Fund is actively managed in reference to the MSCI All World Index actively by virtue of the fact that the investment objective of the Fund is to outperform the Benchmark. The Investment Manager has discretion to invest in securities not included in the Benchmark at any time in order to take advantage of investment opportunities. The investment strategy will restrict the extent to which the Fund's holdings may deviate from the Benchmark. This deviation may be significant. There is an annual target tracking range of 3-6%</w:t>
      </w:r>
    </w:p>
    <w:p w14:paraId="06C343B2" w14:textId="77777777" w:rsidR="007253AC" w:rsidRDefault="00240C9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C08BCC3" w14:textId="77777777" w:rsidR="007253AC" w:rsidRDefault="00240C9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utilise financial derivative instruments (futures, contracts for difference, currency forwards, swaps, warrants, rights and options) for efficient portfolio management purposes, including hedging purposes. Derivatives may be traded on a recognised exchange or over-the- counter. Any income arising from the Fund will be reinvested and it is not intended that the Fund will pay dividends. The Fund employs a long-term investment approach and is suitable for investors who have a medium to high risk profile. You may buy and sell shares in the Fund on each day which is a Business Day in Ireland.</w:t>
      </w:r>
    </w:p>
    <w:p w14:paraId="463E480D" w14:textId="77777777" w:rsidR="007253AC" w:rsidRDefault="00240C9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E5EF1F0" w14:textId="77777777" w:rsidR="007253AC" w:rsidRDefault="00240C9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Unless otherwise defined in this document, all words and expressions defined in the Prospectus shall have the same meaning herein. Please refer to the "Investment Objectives and Policies" section of the Prospectus and the "Investment Policy" section of the Supplement for further information</w:t>
      </w:r>
    </w:p>
    <w:p w14:paraId="7B746E82" w14:textId="77777777" w:rsidR="007253AC" w:rsidRDefault="007253AC">
      <w:pPr>
        <w:autoSpaceDE w:val="0"/>
        <w:autoSpaceDN w:val="0"/>
        <w:jc w:val="both"/>
        <w:rPr>
          <w:rFonts w:ascii="Arial" w:eastAsia="Arial" w:hAnsi="Arial" w:cs="Arial"/>
          <w:color w:val="000000"/>
          <w:sz w:val="16"/>
          <w:szCs w:val="16"/>
        </w:rPr>
        <w:sectPr w:rsidR="007253AC">
          <w:type w:val="continuous"/>
          <w:pgSz w:w="11905" w:h="16837"/>
          <w:pgMar w:top="0" w:right="793" w:bottom="0" w:left="566" w:header="0" w:footer="0" w:gutter="0"/>
          <w:cols w:num="2" w:space="510"/>
        </w:sect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7253AC" w14:paraId="3C598B77" w14:textId="77777777">
        <w:trPr>
          <w:trHeight w:hRule="exact" w:val="283"/>
        </w:trPr>
        <w:tc>
          <w:tcPr>
            <w:tcW w:w="10544" w:type="dxa"/>
            <w:shd w:val="clear" w:color="auto" w:fill="auto"/>
            <w:noWrap/>
            <w:tcMar>
              <w:left w:w="20" w:type="dxa"/>
              <w:right w:w="20" w:type="dxa"/>
            </w:tcMar>
          </w:tcPr>
          <w:p w14:paraId="3CC067C3" w14:textId="77777777" w:rsidR="007253AC" w:rsidRDefault="007253AC">
            <w:pPr>
              <w:autoSpaceDE w:val="0"/>
              <w:autoSpaceDN w:val="0"/>
              <w:rPr>
                <w:rFonts w:ascii="Arial" w:eastAsia="Arial" w:hAnsi="Arial" w:cs="Arial"/>
                <w:color w:val="000000"/>
                <w:sz w:val="18"/>
              </w:rPr>
            </w:pPr>
          </w:p>
        </w:tc>
      </w:tr>
    </w:tbl>
    <w:p w14:paraId="52483616" w14:textId="77777777" w:rsidR="007253AC" w:rsidRDefault="007253A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7253AC" w14:paraId="0B604550"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374FCC60" w14:textId="77777777" w:rsidR="007253AC" w:rsidRDefault="00240C9A">
            <w:pPr>
              <w:keepNext/>
              <w:autoSpaceDE w:val="0"/>
              <w:autoSpaceDN w:val="0"/>
            </w:pPr>
            <w:r>
              <w:rPr>
                <w:rFonts w:ascii="Arial" w:eastAsia="Arial" w:hAnsi="Arial" w:cs="Arial"/>
                <w:b/>
                <w:color w:val="000000"/>
                <w:sz w:val="18"/>
              </w:rPr>
              <w:t>Risk and Reward Profile of the Fund</w:t>
            </w:r>
          </w:p>
        </w:tc>
      </w:tr>
      <w:tr w:rsidR="007253AC" w14:paraId="18452DE1" w14:textId="77777777">
        <w:trPr>
          <w:trHeight w:hRule="exact" w:val="226"/>
        </w:trPr>
        <w:tc>
          <w:tcPr>
            <w:tcW w:w="10544" w:type="dxa"/>
            <w:shd w:val="clear" w:color="auto" w:fill="auto"/>
            <w:noWrap/>
            <w:tcMar>
              <w:left w:w="20" w:type="dxa"/>
              <w:right w:w="20" w:type="dxa"/>
            </w:tcMar>
          </w:tcPr>
          <w:p w14:paraId="074FB7A7" w14:textId="77777777" w:rsidR="007253AC" w:rsidRDefault="007253AC">
            <w:pPr>
              <w:autoSpaceDE w:val="0"/>
              <w:autoSpaceDN w:val="0"/>
              <w:rPr>
                <w:rFonts w:ascii="Arial" w:eastAsia="Arial" w:hAnsi="Arial" w:cs="Arial"/>
                <w:color w:val="000000"/>
                <w:sz w:val="18"/>
              </w:rPr>
            </w:pPr>
          </w:p>
        </w:tc>
      </w:tr>
    </w:tbl>
    <w:p w14:paraId="30FDCAA9" w14:textId="77777777" w:rsidR="007253AC" w:rsidRDefault="007253AC">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7253AC" w14:paraId="545A9D0F" w14:textId="77777777">
        <w:trPr>
          <w:cantSplit/>
        </w:trPr>
        <w:tc>
          <w:tcPr>
            <w:tcW w:w="5017" w:type="dxa"/>
          </w:tcPr>
          <w:tbl>
            <w:tblPr>
              <w:tblW w:w="4988" w:type="dxa"/>
              <w:tblLayout w:type="fixed"/>
              <w:tblCellMar>
                <w:left w:w="0" w:type="dxa"/>
                <w:right w:w="0" w:type="dxa"/>
              </w:tblCellMar>
              <w:tblLook w:val="04A0" w:firstRow="1" w:lastRow="0" w:firstColumn="1" w:lastColumn="0" w:noHBand="0" w:noVBand="1"/>
            </w:tblPr>
            <w:tblGrid>
              <w:gridCol w:w="712"/>
              <w:gridCol w:w="712"/>
              <w:gridCol w:w="712"/>
              <w:gridCol w:w="713"/>
              <w:gridCol w:w="713"/>
              <w:gridCol w:w="713"/>
              <w:gridCol w:w="713"/>
            </w:tblGrid>
            <w:tr w:rsidR="007253AC" w14:paraId="2AA0C9A8" w14:textId="77777777">
              <w:trPr>
                <w:trHeight w:hRule="exact" w:val="1077"/>
              </w:trPr>
              <w:tc>
                <w:tcPr>
                  <w:tcW w:w="4984" w:type="dxa"/>
                  <w:gridSpan w:val="7"/>
                  <w:tcBorders>
                    <w:bottom w:val="single" w:sz="4" w:space="0" w:color="000000"/>
                  </w:tcBorders>
                  <w:shd w:val="clear" w:color="auto" w:fill="auto"/>
                  <w:noWrap/>
                  <w:tcMar>
                    <w:left w:w="1" w:type="dxa"/>
                  </w:tcMar>
                  <w:vAlign w:val="center"/>
                </w:tcPr>
                <w:p w14:paraId="13547889" w14:textId="77777777" w:rsidR="007253AC" w:rsidRDefault="00240C9A">
                  <w:pPr>
                    <w:keepLines/>
                    <w:autoSpaceDE w:val="0"/>
                    <w:autoSpaceDN w:val="0"/>
                    <w:jc w:val="center"/>
                  </w:pPr>
                  <w:r>
                    <w:rPr>
                      <w:rFonts w:ascii="Arial" w:eastAsia="Arial" w:hAnsi="Arial" w:cs="Arial"/>
                      <w:noProof/>
                      <w:color w:val="000000"/>
                      <w:sz w:val="16"/>
                    </w:rPr>
                    <w:drawing>
                      <wp:inline distT="0" distB="0" distL="0" distR="0" wp14:anchorId="0AD9EB09" wp14:editId="651A61DA">
                        <wp:extent cx="2833554" cy="576072"/>
                        <wp:effectExtent l="0" t="0" r="0" b="0"/>
                        <wp:docPr id="10001" name="Picture10001" descr="Risk_Reward_Image.png" title="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 name="Risk_Reward_Image.png" descr="Risk_Reward_Imag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a:fillRect/>
                                </a:stretch>
                              </pic:blipFill>
                              <pic:spPr bwMode="auto">
                                <a:xfrm>
                                  <a:off x="0" y="0"/>
                                  <a:ext cx="2833554" cy="576072"/>
                                </a:xfrm>
                                <a:prstGeom prst="rect">
                                  <a:avLst/>
                                </a:prstGeom>
                                <a:noFill/>
                                <a:ln>
                                  <a:noFill/>
                                </a:ln>
                              </pic:spPr>
                            </pic:pic>
                          </a:graphicData>
                        </a:graphic>
                      </wp:inline>
                    </w:drawing>
                  </w:r>
                </w:p>
              </w:tc>
            </w:tr>
            <w:tr w:rsidR="007253AC" w14:paraId="1B4723E8" w14:textId="77777777">
              <w:trPr>
                <w:trHeight w:hRule="exact" w:val="36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tcMar>
                  <w:vAlign w:val="center"/>
                </w:tcPr>
                <w:p w14:paraId="7564FA1C" w14:textId="77777777" w:rsidR="007253AC" w:rsidRDefault="00240C9A">
                  <w:pPr>
                    <w:autoSpaceDE w:val="0"/>
                    <w:autoSpaceDN w:val="0"/>
                    <w:jc w:val="center"/>
                  </w:pPr>
                  <w:r>
                    <w:rPr>
                      <w:rFonts w:ascii="Arial" w:eastAsia="Arial" w:hAnsi="Arial" w:cs="Arial"/>
                      <w:color w:val="C0C0C0"/>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3DDBFA56" w14:textId="77777777" w:rsidR="007253AC" w:rsidRDefault="00240C9A">
                  <w:pPr>
                    <w:autoSpaceDE w:val="0"/>
                    <w:autoSpaceDN w:val="0"/>
                    <w:jc w:val="center"/>
                  </w:pPr>
                  <w:r>
                    <w:rPr>
                      <w:rFonts w:ascii="Arial" w:eastAsia="Arial" w:hAnsi="Arial" w:cs="Arial"/>
                      <w:color w:val="C0C0C0"/>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3B1F79F4" w14:textId="77777777" w:rsidR="007253AC" w:rsidRDefault="00240C9A">
                  <w:pPr>
                    <w:autoSpaceDE w:val="0"/>
                    <w:autoSpaceDN w:val="0"/>
                    <w:jc w:val="center"/>
                  </w:pPr>
                  <w:r>
                    <w:rPr>
                      <w:rFonts w:ascii="Arial" w:eastAsia="Arial" w:hAnsi="Arial" w:cs="Arial"/>
                      <w:color w:val="C0C0C0"/>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41964EC5" w14:textId="77777777" w:rsidR="007253AC" w:rsidRDefault="00240C9A">
                  <w:pPr>
                    <w:autoSpaceDE w:val="0"/>
                    <w:autoSpaceDN w:val="0"/>
                    <w:jc w:val="center"/>
                  </w:pPr>
                  <w:r>
                    <w:rPr>
                      <w:rFonts w:ascii="Arial" w:eastAsia="Arial" w:hAnsi="Arial" w:cs="Arial"/>
                      <w:color w:val="C0C0C0"/>
                    </w:rPr>
                    <w:t>4</w:t>
                  </w:r>
                </w:p>
              </w:tc>
              <w:tc>
                <w:tcPr>
                  <w:tcW w:w="712" w:type="dxa"/>
                  <w:tcBorders>
                    <w:top w:val="single" w:sz="4" w:space="0" w:color="000000"/>
                    <w:left w:val="single" w:sz="4" w:space="0" w:color="000000"/>
                    <w:bottom w:val="single" w:sz="4" w:space="0" w:color="000000"/>
                    <w:right w:val="single" w:sz="4" w:space="0" w:color="000000"/>
                  </w:tcBorders>
                  <w:shd w:val="solid" w:color="BFBFBF" w:fill="auto"/>
                  <w:noWrap/>
                  <w:tcMar>
                    <w:left w:w="56" w:type="dxa"/>
                    <w:right w:w="56" w:type="dxa"/>
                  </w:tcMar>
                  <w:vAlign w:val="center"/>
                </w:tcPr>
                <w:p w14:paraId="3E58C032" w14:textId="77777777" w:rsidR="007253AC" w:rsidRDefault="00240C9A">
                  <w:pPr>
                    <w:autoSpaceDE w:val="0"/>
                    <w:autoSpaceDN w:val="0"/>
                    <w:jc w:val="center"/>
                  </w:pPr>
                  <w:r>
                    <w:rPr>
                      <w:rFonts w:ascii="Arial" w:eastAsia="Arial" w:hAnsi="Arial" w:cs="Arial"/>
                      <w:b/>
                      <w:color w:val="000000"/>
                    </w:rPr>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6DD215D4" w14:textId="77777777" w:rsidR="007253AC" w:rsidRDefault="00240C9A">
                  <w:pPr>
                    <w:autoSpaceDE w:val="0"/>
                    <w:autoSpaceDN w:val="0"/>
                    <w:jc w:val="center"/>
                  </w:pPr>
                  <w:r>
                    <w:rPr>
                      <w:rFonts w:ascii="Arial" w:eastAsia="Arial" w:hAnsi="Arial" w:cs="Arial"/>
                      <w:color w:val="C0C0C0"/>
                    </w:rPr>
                    <w:t>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2F9C53C9" w14:textId="77777777" w:rsidR="007253AC" w:rsidRDefault="00240C9A">
                  <w:pPr>
                    <w:autoSpaceDE w:val="0"/>
                    <w:autoSpaceDN w:val="0"/>
                    <w:jc w:val="center"/>
                  </w:pPr>
                  <w:r>
                    <w:rPr>
                      <w:rFonts w:ascii="Arial" w:eastAsia="Arial" w:hAnsi="Arial" w:cs="Arial"/>
                      <w:color w:val="C0C0C0"/>
                    </w:rPr>
                    <w:t>7</w:t>
                  </w:r>
                </w:p>
              </w:tc>
            </w:tr>
            <w:tr w:rsidR="007253AC" w14:paraId="173052B5" w14:textId="77777777">
              <w:tc>
                <w:tcPr>
                  <w:tcW w:w="4984" w:type="dxa"/>
                  <w:gridSpan w:val="7"/>
                  <w:shd w:val="clear" w:color="auto" w:fill="auto"/>
                  <w:noWrap/>
                  <w:tcMar>
                    <w:left w:w="56" w:type="dxa"/>
                  </w:tcMar>
                  <w:vAlign w:val="center"/>
                </w:tcPr>
                <w:p w14:paraId="1339459D" w14:textId="77777777" w:rsidR="007253AC" w:rsidRDefault="007253AC">
                  <w:pPr>
                    <w:autoSpaceDE w:val="0"/>
                    <w:autoSpaceDN w:val="0"/>
                    <w:jc w:val="both"/>
                    <w:rPr>
                      <w:rFonts w:ascii="Arial" w:eastAsia="Arial" w:hAnsi="Arial" w:cs="Arial"/>
                      <w:color w:val="C0C0C0"/>
                      <w:sz w:val="16"/>
                    </w:rPr>
                  </w:pPr>
                </w:p>
              </w:tc>
            </w:tr>
            <w:tr w:rsidR="007253AC" w14:paraId="72A4433B" w14:textId="77777777">
              <w:tc>
                <w:tcPr>
                  <w:tcW w:w="4984" w:type="dxa"/>
                  <w:gridSpan w:val="7"/>
                  <w:shd w:val="clear" w:color="auto" w:fill="auto"/>
                  <w:noWrap/>
                  <w:tcMar>
                    <w:left w:w="56" w:type="dxa"/>
                  </w:tcMar>
                  <w:vAlign w:val="center"/>
                </w:tcPr>
                <w:p w14:paraId="33E1A5D9" w14:textId="77777777" w:rsidR="007253AC" w:rsidRDefault="00240C9A">
                  <w:pPr>
                    <w:keepLines/>
                    <w:autoSpaceDE w:val="0"/>
                    <w:autoSpaceDN w:val="0"/>
                  </w:pPr>
                  <w:r>
                    <w:rPr>
                      <w:rFonts w:ascii="Arial" w:eastAsia="Arial" w:hAnsi="Arial" w:cs="Arial"/>
                      <w:color w:val="000000"/>
                      <w:sz w:val="16"/>
                    </w:rPr>
                    <w:t>The indicator above is not a measure of the risk of capital loss, but a measure of the Fund's price movement over time.</w:t>
                  </w:r>
                  <w:r>
                    <w:rPr>
                      <w:rFonts w:ascii="Arial" w:eastAsia="Arial" w:hAnsi="Arial" w:cs="Arial"/>
                      <w:color w:val="000000"/>
                      <w:sz w:val="16"/>
                    </w:rPr>
                    <w:br/>
                  </w:r>
                  <w:r>
                    <w:rPr>
                      <w:rFonts w:ascii="Arial" w:eastAsia="Arial" w:hAnsi="Arial" w:cs="Arial"/>
                      <w:color w:val="000000"/>
                      <w:sz w:val="16"/>
                    </w:rPr>
                    <w:br/>
                    <w:t>• It is based on historical data and thus may not be a reliable indication for the future.</w:t>
                  </w:r>
                  <w:r>
                    <w:rPr>
                      <w:rFonts w:ascii="Arial" w:eastAsia="Arial" w:hAnsi="Arial" w:cs="Arial"/>
                      <w:color w:val="000000"/>
                      <w:sz w:val="16"/>
                    </w:rPr>
                    <w:br/>
                  </w:r>
                  <w:r>
                    <w:rPr>
                      <w:rFonts w:ascii="Arial" w:eastAsia="Arial" w:hAnsi="Arial" w:cs="Arial"/>
                      <w:color w:val="000000"/>
                      <w:sz w:val="16"/>
                    </w:rPr>
                    <w:br/>
                    <w:t>• The indicated risk category is not guaranteed and may shift over time.</w:t>
                  </w:r>
                  <w:r>
                    <w:rPr>
                      <w:rFonts w:ascii="Arial" w:eastAsia="Arial" w:hAnsi="Arial" w:cs="Arial"/>
                      <w:color w:val="000000"/>
                      <w:sz w:val="16"/>
                    </w:rPr>
                    <w:br/>
                  </w:r>
                  <w:r>
                    <w:rPr>
                      <w:rFonts w:ascii="Arial" w:eastAsia="Arial" w:hAnsi="Arial" w:cs="Arial"/>
                      <w:color w:val="000000"/>
                      <w:sz w:val="16"/>
                    </w:rPr>
                    <w:br/>
                    <w:t>• The indicator is designed to help investors understand the uncertainties both for loss and for growth that may affect their investment.  In this context, the lowest category does not mean "risk free".</w:t>
                  </w:r>
                  <w:r>
                    <w:rPr>
                      <w:rFonts w:ascii="Arial" w:eastAsia="Arial" w:hAnsi="Arial" w:cs="Arial"/>
                      <w:color w:val="000000"/>
                      <w:sz w:val="16"/>
                    </w:rPr>
                    <w:br/>
                  </w:r>
                  <w:r>
                    <w:rPr>
                      <w:rFonts w:ascii="Arial" w:eastAsia="Arial" w:hAnsi="Arial" w:cs="Arial"/>
                      <w:color w:val="000000"/>
                      <w:sz w:val="16"/>
                    </w:rPr>
                    <w:br/>
                    <w:t>• The Fund is classified in the category indicated above due to the past behaviour of it's its target asset mix.</w:t>
                  </w:r>
                  <w:r>
                    <w:rPr>
                      <w:rFonts w:ascii="Arial" w:eastAsia="Arial" w:hAnsi="Arial" w:cs="Arial"/>
                      <w:color w:val="000000"/>
                      <w:sz w:val="16"/>
                    </w:rPr>
                    <w:br/>
                  </w:r>
                  <w:r>
                    <w:rPr>
                      <w:rFonts w:ascii="Arial" w:eastAsia="Arial" w:hAnsi="Arial" w:cs="Arial"/>
                      <w:color w:val="000000"/>
                      <w:sz w:val="16"/>
                    </w:rPr>
                    <w:br/>
                    <w:t>• The Fund does not provide its investors with any guarantee on performance, nor on the monies invested in it.</w:t>
                  </w:r>
                </w:p>
              </w:tc>
            </w:tr>
          </w:tbl>
          <w:p w14:paraId="22B420A0" w14:textId="77777777" w:rsidR="007253AC" w:rsidRDefault="007253AC">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7253AC" w14:paraId="08E9284E" w14:textId="77777777">
              <w:trPr>
                <w:trHeight w:hRule="exact" w:val="170"/>
              </w:trPr>
              <w:tc>
                <w:tcPr>
                  <w:tcW w:w="510" w:type="dxa"/>
                  <w:shd w:val="clear" w:color="auto" w:fill="auto"/>
                  <w:noWrap/>
                  <w:tcMar>
                    <w:left w:w="20" w:type="dxa"/>
                    <w:right w:w="20" w:type="dxa"/>
                  </w:tcMar>
                </w:tcPr>
                <w:p w14:paraId="73546D11" w14:textId="77777777" w:rsidR="007253AC" w:rsidRDefault="007253AC">
                  <w:pPr>
                    <w:autoSpaceDE w:val="0"/>
                    <w:autoSpaceDN w:val="0"/>
                    <w:rPr>
                      <w:rFonts w:ascii="Arial" w:eastAsia="Arial" w:hAnsi="Arial" w:cs="Arial"/>
                      <w:color w:val="000000"/>
                      <w:sz w:val="18"/>
                    </w:rPr>
                  </w:pPr>
                </w:p>
              </w:tc>
            </w:tr>
          </w:tbl>
          <w:p w14:paraId="73BBE703" w14:textId="77777777" w:rsidR="007253AC" w:rsidRDefault="007253AC">
            <w:pPr>
              <w:keepNext/>
              <w:autoSpaceDE w:val="0"/>
              <w:autoSpaceDN w:val="0"/>
              <w:rPr>
                <w:vanish/>
                <w:sz w:val="2"/>
                <w:szCs w:val="2"/>
              </w:rPr>
            </w:pPr>
          </w:p>
        </w:tc>
        <w:tc>
          <w:tcPr>
            <w:tcW w:w="5017" w:type="dxa"/>
          </w:tcPr>
          <w:p w14:paraId="0A9A6484" w14:textId="77777777" w:rsidR="007253AC" w:rsidRDefault="00240C9A">
            <w:pPr>
              <w:keepLines/>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In addition to the risk captured by the indicator, the overall Fund value may be considerably affected by:</w:t>
            </w:r>
          </w:p>
          <w:p w14:paraId="600ECA55" w14:textId="77777777" w:rsidR="007253AC" w:rsidRDefault="00240C9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Market Risk</w:t>
            </w:r>
            <w:r>
              <w:rPr>
                <w:rFonts w:ascii="Arial" w:eastAsia="Arial" w:hAnsi="Arial" w:cs="Arial"/>
                <w:color w:val="000000"/>
                <w:sz w:val="16"/>
                <w:szCs w:val="16"/>
              </w:rPr>
              <w:t xml:space="preserve"> - the Fund invests in shares of companies, and the value of these shares can be negatively affected by changes in the company or its industry or the economy in which it operates.</w:t>
            </w:r>
          </w:p>
          <w:p w14:paraId="3275096E" w14:textId="77777777" w:rsidR="007253AC" w:rsidRDefault="00240C9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Currency Risk</w:t>
            </w:r>
            <w:r>
              <w:rPr>
                <w:rFonts w:ascii="Arial" w:eastAsia="Arial" w:hAnsi="Arial" w:cs="Arial"/>
                <w:color w:val="000000"/>
                <w:sz w:val="16"/>
                <w:szCs w:val="16"/>
              </w:rPr>
              <w:t xml:space="preserve"> - the Fund may be exposed to currency risk in relation to the valuation of assets held in currencies other than USD.</w:t>
            </w:r>
          </w:p>
          <w:p w14:paraId="4EF77FAD" w14:textId="77777777" w:rsidR="007253AC" w:rsidRDefault="00240C9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Derivatives Risk</w:t>
            </w:r>
            <w:r>
              <w:rPr>
                <w:rFonts w:ascii="Arial" w:eastAsia="Arial" w:hAnsi="Arial" w:cs="Arial"/>
                <w:color w:val="000000"/>
                <w:sz w:val="16"/>
                <w:szCs w:val="16"/>
              </w:rPr>
              <w:t xml:space="preserve"> - Derivatives are highly sensitive to changes in the value of the assets they are based on. The use of derivatives may result in gains or losses that are greater than the original amount invested.</w:t>
            </w:r>
          </w:p>
          <w:p w14:paraId="07E9EAF7" w14:textId="77777777" w:rsidR="007253AC" w:rsidRDefault="00240C9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Developing Market Risk</w:t>
            </w:r>
            <w:r>
              <w:rPr>
                <w:rFonts w:ascii="Arial" w:eastAsia="Arial" w:hAnsi="Arial" w:cs="Arial"/>
                <w:color w:val="000000"/>
                <w:sz w:val="16"/>
                <w:szCs w:val="16"/>
              </w:rPr>
              <w:t xml:space="preserve"> – Some of the countries in which the Fund invests may have less developed legal, political, economic and/or other systems. These markets carry a higher risk of financial loss than those in countries generally regarded as being more developed.</w:t>
            </w:r>
          </w:p>
          <w:p w14:paraId="33E7B469" w14:textId="77777777" w:rsidR="007253AC" w:rsidRDefault="00240C9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Country and Political Risk</w:t>
            </w:r>
            <w:r>
              <w:rPr>
                <w:rFonts w:ascii="Arial" w:eastAsia="Arial" w:hAnsi="Arial" w:cs="Arial"/>
                <w:color w:val="000000"/>
                <w:sz w:val="16"/>
                <w:szCs w:val="16"/>
              </w:rPr>
              <w:t xml:space="preserve"> – Investments or underlying components of the Fund may be affected by their link or relationship to specific countries which could be exposed to political or economic events affecting companies, interest rates or currencies.</w:t>
            </w:r>
          </w:p>
          <w:p w14:paraId="5B010034" w14:textId="77777777" w:rsidR="007253AC" w:rsidRDefault="00240C9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w:t>
            </w:r>
            <w:r>
              <w:rPr>
                <w:rFonts w:ascii="Arial" w:eastAsia="Arial" w:hAnsi="Arial" w:cs="Arial"/>
                <w:color w:val="000000"/>
                <w:sz w:val="16"/>
                <w:szCs w:val="16"/>
              </w:rPr>
              <w:t xml:space="preserve"> - the risk stemming from the lack of marketability of an investment that cannot be bought or sold quickly enough to prevent or minimise a loss.</w:t>
            </w:r>
          </w:p>
          <w:p w14:paraId="50719F7C" w14:textId="77777777" w:rsidR="007253AC" w:rsidRDefault="00240C9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Counterparty Risk</w:t>
            </w:r>
            <w:r>
              <w:rPr>
                <w:rFonts w:ascii="Arial" w:eastAsia="Arial" w:hAnsi="Arial" w:cs="Arial"/>
                <w:color w:val="000000"/>
                <w:sz w:val="16"/>
                <w:szCs w:val="16"/>
              </w:rPr>
              <w:t xml:space="preserve"> - The insolvency of any institutions providing services, such as safekeeping of assets or acting as counterparty to derivatives or other instruments, may expose the Fund to financial loss.</w:t>
            </w:r>
          </w:p>
          <w:p w14:paraId="320034A9" w14:textId="77777777" w:rsidR="007253AC" w:rsidRDefault="00240C9A">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Please refer to the "Risk Factors" section of the Prospectus for further information - see under "Practical Information" for how to obtain a copy.</w:t>
            </w:r>
          </w:p>
          <w:p w14:paraId="4CF0FE5A" w14:textId="77777777" w:rsidR="007253AC" w:rsidRDefault="007253AC">
            <w:pPr>
              <w:keepNext/>
              <w:autoSpaceDE w:val="0"/>
              <w:autoSpaceDN w:val="0"/>
              <w:rPr>
                <w:vanish/>
                <w:sz w:val="2"/>
                <w:szCs w:val="2"/>
              </w:rPr>
            </w:pPr>
          </w:p>
        </w:tc>
      </w:tr>
    </w:tbl>
    <w:p w14:paraId="3348248A" w14:textId="77777777" w:rsidR="007253AC" w:rsidRDefault="007253AC">
      <w:pPr>
        <w:autoSpaceDE w:val="0"/>
        <w:autoSpaceDN w:val="0"/>
        <w:rPr>
          <w:sz w:val="2"/>
          <w:szCs w:val="2"/>
        </w:rPr>
        <w:sectPr w:rsidR="007253AC">
          <w:type w:val="continuous"/>
          <w:pgSz w:w="11905" w:h="16837"/>
          <w:pgMar w:top="0" w:right="793" w:bottom="0" w:left="566" w:header="0" w:footer="0" w:gutter="0"/>
          <w:cols w:space="0"/>
        </w:sectPr>
      </w:pPr>
    </w:p>
    <w:p w14:paraId="71AE7EAC" w14:textId="77777777" w:rsidR="007253AC" w:rsidRDefault="007253AC">
      <w:pPr>
        <w:keepNext/>
        <w:autoSpaceDE w:val="0"/>
        <w:autoSpaceDN w:val="0"/>
        <w:rPr>
          <w:vanish/>
          <w:sz w:val="2"/>
          <w:szCs w:val="2"/>
        </w:rPr>
      </w:pPr>
      <w:bookmarkStart w:id="1" w:name="_Page_2_1"/>
      <w:bookmarkEnd w:id="1"/>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7253AC" w14:paraId="4F4F1D34"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4E3E83B2" w14:textId="77777777" w:rsidR="007253AC" w:rsidRDefault="00240C9A">
            <w:pPr>
              <w:keepNext/>
              <w:autoSpaceDE w:val="0"/>
              <w:autoSpaceDN w:val="0"/>
            </w:pPr>
            <w:r>
              <w:rPr>
                <w:rFonts w:ascii="Arial" w:eastAsia="Arial" w:hAnsi="Arial" w:cs="Arial"/>
                <w:b/>
                <w:color w:val="000000"/>
                <w:sz w:val="18"/>
              </w:rPr>
              <w:t>Charges for the Fund</w:t>
            </w:r>
          </w:p>
        </w:tc>
      </w:tr>
      <w:tr w:rsidR="007253AC" w14:paraId="52E04C98" w14:textId="77777777">
        <w:trPr>
          <w:trHeight w:hRule="exact" w:val="226"/>
        </w:trPr>
        <w:tc>
          <w:tcPr>
            <w:tcW w:w="10544" w:type="dxa"/>
            <w:shd w:val="clear" w:color="auto" w:fill="auto"/>
            <w:noWrap/>
            <w:tcMar>
              <w:left w:w="20" w:type="dxa"/>
              <w:right w:w="20" w:type="dxa"/>
            </w:tcMar>
          </w:tcPr>
          <w:p w14:paraId="2920300E" w14:textId="77777777" w:rsidR="007253AC" w:rsidRDefault="007253AC">
            <w:pPr>
              <w:autoSpaceDE w:val="0"/>
              <w:autoSpaceDN w:val="0"/>
              <w:rPr>
                <w:rFonts w:ascii="Arial" w:eastAsia="Arial" w:hAnsi="Arial" w:cs="Arial"/>
                <w:color w:val="000000"/>
                <w:sz w:val="18"/>
              </w:rPr>
            </w:pPr>
          </w:p>
        </w:tc>
      </w:tr>
    </w:tbl>
    <w:p w14:paraId="01E75650" w14:textId="77777777" w:rsidR="007253AC" w:rsidRDefault="007253A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7253AC" w14:paraId="1059F5CF" w14:textId="77777777">
        <w:tc>
          <w:tcPr>
            <w:tcW w:w="10544" w:type="dxa"/>
            <w:shd w:val="clear" w:color="auto" w:fill="auto"/>
            <w:noWrap/>
            <w:tcMar>
              <w:left w:w="56" w:type="dxa"/>
              <w:right w:w="56" w:type="dxa"/>
            </w:tcMar>
            <w:vAlign w:val="center"/>
          </w:tcPr>
          <w:p w14:paraId="22E6EE8A" w14:textId="77777777" w:rsidR="007253AC" w:rsidRDefault="00240C9A">
            <w:pPr>
              <w:keepNext/>
              <w:keepLines/>
              <w:autoSpaceDE w:val="0"/>
              <w:autoSpaceDN w:val="0"/>
              <w:spacing w:after="160"/>
              <w:jc w:val="both"/>
            </w:pPr>
            <w:r>
              <w:rPr>
                <w:rFonts w:ascii="Arial" w:eastAsia="Arial" w:hAnsi="Arial" w:cs="Arial"/>
                <w:color w:val="000000"/>
                <w:sz w:val="16"/>
              </w:rPr>
              <w:t>These charges are used to pay the costs of running the Fund, including the costs of marketing and distribution. These charges reduce the potential growth of your investment.</w:t>
            </w:r>
          </w:p>
        </w:tc>
      </w:tr>
      <w:tr w:rsidR="007253AC" w14:paraId="063C2C99" w14:textId="77777777">
        <w:trPr>
          <w:trHeight w:hRule="exact" w:val="170"/>
        </w:trPr>
        <w:tc>
          <w:tcPr>
            <w:tcW w:w="10544" w:type="dxa"/>
            <w:shd w:val="clear" w:color="auto" w:fill="auto"/>
            <w:noWrap/>
            <w:tcMar>
              <w:left w:w="56" w:type="dxa"/>
              <w:right w:w="56" w:type="dxa"/>
            </w:tcMar>
            <w:vAlign w:val="center"/>
          </w:tcPr>
          <w:p w14:paraId="6637D03A" w14:textId="77777777" w:rsidR="007253AC" w:rsidRDefault="007253AC">
            <w:pPr>
              <w:autoSpaceDE w:val="0"/>
              <w:autoSpaceDN w:val="0"/>
              <w:jc w:val="both"/>
              <w:rPr>
                <w:rFonts w:ascii="Arial" w:eastAsia="Arial" w:hAnsi="Arial" w:cs="Arial"/>
                <w:color w:val="000000"/>
                <w:sz w:val="16"/>
              </w:rPr>
            </w:pPr>
          </w:p>
        </w:tc>
      </w:tr>
    </w:tbl>
    <w:p w14:paraId="4D878FCC" w14:textId="77777777" w:rsidR="007253AC" w:rsidRDefault="007253AC">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7253AC" w14:paraId="5E20A4B6" w14:textId="77777777">
        <w:trPr>
          <w:cantSplit/>
        </w:trPr>
        <w:tc>
          <w:tcPr>
            <w:tcW w:w="5017" w:type="dxa"/>
          </w:tcPr>
          <w:tbl>
            <w:tblPr>
              <w:tblW w:w="4989" w:type="dxa"/>
              <w:tblLayout w:type="fixed"/>
              <w:tblCellMar>
                <w:left w:w="0" w:type="dxa"/>
                <w:right w:w="0" w:type="dxa"/>
              </w:tblCellMar>
              <w:tblLook w:val="04A0" w:firstRow="1" w:lastRow="0" w:firstColumn="1" w:lastColumn="0" w:noHBand="0" w:noVBand="1"/>
            </w:tblPr>
            <w:tblGrid>
              <w:gridCol w:w="1985"/>
              <w:gridCol w:w="566"/>
              <w:gridCol w:w="2438"/>
            </w:tblGrid>
            <w:tr w:rsidR="007253AC" w14:paraId="0EC4BA02" w14:textId="77777777">
              <w:trPr>
                <w:trHeight w:hRule="exact" w:val="226"/>
              </w:trPr>
              <w:tc>
                <w:tcPr>
                  <w:tcW w:w="4987" w:type="dxa"/>
                  <w:gridSpan w:val="3"/>
                  <w:tcBorders>
                    <w:top w:val="single" w:sz="4" w:space="0" w:color="000000"/>
                    <w:left w:val="single" w:sz="4" w:space="0" w:color="000000"/>
                    <w:right w:val="single" w:sz="4" w:space="0" w:color="000000"/>
                  </w:tcBorders>
                  <w:shd w:val="clear" w:color="auto" w:fill="auto"/>
                  <w:noWrap/>
                  <w:tcMar>
                    <w:left w:w="56" w:type="dxa"/>
                    <w:right w:w="56" w:type="dxa"/>
                  </w:tcMar>
                  <w:vAlign w:val="center"/>
                </w:tcPr>
                <w:p w14:paraId="64A45103" w14:textId="77777777" w:rsidR="007253AC" w:rsidRDefault="00240C9A">
                  <w:pPr>
                    <w:autoSpaceDE w:val="0"/>
                    <w:autoSpaceDN w:val="0"/>
                    <w:spacing w:after="80"/>
                    <w:jc w:val="both"/>
                  </w:pPr>
                  <w:r>
                    <w:rPr>
                      <w:rFonts w:ascii="Arial" w:eastAsia="Arial" w:hAnsi="Arial" w:cs="Arial"/>
                      <w:b/>
                      <w:color w:val="000000"/>
                      <w:sz w:val="16"/>
                    </w:rPr>
                    <w:t>One-off charges taken before or after you invest</w:t>
                  </w:r>
                </w:p>
              </w:tc>
            </w:tr>
            <w:tr w:rsidR="007253AC" w14:paraId="611FB372"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2C209101" w14:textId="77777777" w:rsidR="007253AC" w:rsidRDefault="00240C9A">
                  <w:pPr>
                    <w:autoSpaceDE w:val="0"/>
                    <w:autoSpaceDN w:val="0"/>
                    <w:spacing w:after="80"/>
                    <w:jc w:val="both"/>
                  </w:pPr>
                  <w:r>
                    <w:rPr>
                      <w:rFonts w:ascii="Arial" w:eastAsia="Arial" w:hAnsi="Arial" w:cs="Arial"/>
                      <w:color w:val="000000"/>
                      <w:sz w:val="16"/>
                    </w:rPr>
                    <w:t>Entry charge</w:t>
                  </w:r>
                </w:p>
              </w:tc>
              <w:tc>
                <w:tcPr>
                  <w:tcW w:w="566" w:type="dxa"/>
                  <w:shd w:val="clear" w:color="auto" w:fill="auto"/>
                  <w:noWrap/>
                  <w:tcMar>
                    <w:left w:w="56" w:type="dxa"/>
                    <w:right w:w="56" w:type="dxa"/>
                  </w:tcMar>
                  <w:vAlign w:val="center"/>
                </w:tcPr>
                <w:p w14:paraId="7867A8A1" w14:textId="77777777" w:rsidR="007253AC" w:rsidRDefault="00240C9A">
                  <w:pPr>
                    <w:autoSpaceDE w:val="0"/>
                    <w:autoSpaceDN w:val="0"/>
                    <w:jc w:val="both"/>
                  </w:pPr>
                  <w:r>
                    <w:rPr>
                      <w:rFonts w:ascii="Arial" w:eastAsia="Arial" w:hAnsi="Arial" w:cs="Arial"/>
                      <w:color w:val="000000"/>
                      <w:sz w:val="16"/>
                    </w:rPr>
                    <w:t>5.00%</w:t>
                  </w:r>
                </w:p>
              </w:tc>
              <w:tc>
                <w:tcPr>
                  <w:tcW w:w="2437" w:type="dxa"/>
                  <w:tcBorders>
                    <w:right w:val="single" w:sz="4" w:space="0" w:color="000000"/>
                  </w:tcBorders>
                  <w:shd w:val="clear" w:color="auto" w:fill="auto"/>
                  <w:noWrap/>
                  <w:tcMar>
                    <w:left w:w="56" w:type="dxa"/>
                    <w:right w:w="56" w:type="dxa"/>
                  </w:tcMar>
                  <w:vAlign w:val="center"/>
                </w:tcPr>
                <w:p w14:paraId="3BBD1D74" w14:textId="77777777" w:rsidR="007253AC" w:rsidRDefault="007253AC">
                  <w:pPr>
                    <w:autoSpaceDE w:val="0"/>
                    <w:autoSpaceDN w:val="0"/>
                    <w:jc w:val="both"/>
                    <w:rPr>
                      <w:rFonts w:ascii="Arial" w:eastAsia="Arial" w:hAnsi="Arial" w:cs="Arial"/>
                      <w:color w:val="000000"/>
                      <w:sz w:val="16"/>
                    </w:rPr>
                  </w:pPr>
                </w:p>
              </w:tc>
            </w:tr>
            <w:tr w:rsidR="007253AC" w14:paraId="49604045"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1834011F" w14:textId="77777777" w:rsidR="007253AC" w:rsidRDefault="00240C9A">
                  <w:pPr>
                    <w:autoSpaceDE w:val="0"/>
                    <w:autoSpaceDN w:val="0"/>
                    <w:jc w:val="both"/>
                  </w:pPr>
                  <w:r>
                    <w:rPr>
                      <w:rFonts w:ascii="Arial" w:eastAsia="Arial" w:hAnsi="Arial" w:cs="Arial"/>
                      <w:color w:val="000000"/>
                      <w:sz w:val="16"/>
                    </w:rPr>
                    <w:t>Exit charge</w:t>
                  </w:r>
                </w:p>
              </w:tc>
              <w:tc>
                <w:tcPr>
                  <w:tcW w:w="566" w:type="dxa"/>
                  <w:shd w:val="clear" w:color="auto" w:fill="auto"/>
                  <w:noWrap/>
                  <w:tcMar>
                    <w:left w:w="56" w:type="dxa"/>
                    <w:right w:w="56" w:type="dxa"/>
                  </w:tcMar>
                  <w:vAlign w:val="center"/>
                </w:tcPr>
                <w:p w14:paraId="1E1BBA89" w14:textId="77777777" w:rsidR="007253AC" w:rsidRDefault="00240C9A">
                  <w:pPr>
                    <w:autoSpaceDE w:val="0"/>
                    <w:autoSpaceDN w:val="0"/>
                    <w:jc w:val="both"/>
                  </w:pPr>
                  <w:r>
                    <w:rPr>
                      <w:rFonts w:ascii="Arial" w:eastAsia="Arial" w:hAnsi="Arial" w:cs="Arial"/>
                      <w:color w:val="000000"/>
                      <w:sz w:val="16"/>
                    </w:rPr>
                    <w:t>3.00%</w:t>
                  </w:r>
                </w:p>
              </w:tc>
              <w:tc>
                <w:tcPr>
                  <w:tcW w:w="2437" w:type="dxa"/>
                  <w:tcBorders>
                    <w:right w:val="single" w:sz="4" w:space="0" w:color="000000"/>
                  </w:tcBorders>
                  <w:shd w:val="clear" w:color="auto" w:fill="auto"/>
                  <w:noWrap/>
                  <w:tcMar>
                    <w:left w:w="56" w:type="dxa"/>
                    <w:right w:w="56" w:type="dxa"/>
                  </w:tcMar>
                  <w:vAlign w:val="center"/>
                </w:tcPr>
                <w:p w14:paraId="28CFDD0F" w14:textId="77777777" w:rsidR="007253AC" w:rsidRDefault="007253AC">
                  <w:pPr>
                    <w:autoSpaceDE w:val="0"/>
                    <w:autoSpaceDN w:val="0"/>
                    <w:jc w:val="both"/>
                    <w:rPr>
                      <w:rFonts w:ascii="Arial" w:eastAsia="Arial" w:hAnsi="Arial" w:cs="Arial"/>
                      <w:color w:val="000000"/>
                      <w:sz w:val="16"/>
                    </w:rPr>
                  </w:pPr>
                </w:p>
              </w:tc>
            </w:tr>
            <w:tr w:rsidR="007253AC" w14:paraId="6C926196"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0C8E7D46" w14:textId="77777777" w:rsidR="007253AC" w:rsidRDefault="007253AC">
                  <w:pPr>
                    <w:autoSpaceDE w:val="0"/>
                    <w:autoSpaceDN w:val="0"/>
                    <w:jc w:val="both"/>
                    <w:rPr>
                      <w:rFonts w:ascii="Arial" w:eastAsia="Arial" w:hAnsi="Arial" w:cs="Arial"/>
                      <w:color w:val="000000"/>
                      <w:sz w:val="16"/>
                    </w:rPr>
                  </w:pPr>
                </w:p>
              </w:tc>
              <w:tc>
                <w:tcPr>
                  <w:tcW w:w="566" w:type="dxa"/>
                  <w:shd w:val="clear" w:color="auto" w:fill="auto"/>
                  <w:noWrap/>
                  <w:tcMar>
                    <w:left w:w="56" w:type="dxa"/>
                    <w:right w:w="56" w:type="dxa"/>
                  </w:tcMar>
                  <w:vAlign w:val="center"/>
                </w:tcPr>
                <w:p w14:paraId="5168909D" w14:textId="77777777" w:rsidR="007253AC" w:rsidRDefault="007253AC">
                  <w:pPr>
                    <w:autoSpaceDE w:val="0"/>
                    <w:autoSpaceDN w:val="0"/>
                    <w:jc w:val="both"/>
                    <w:rPr>
                      <w:rFonts w:ascii="Arial" w:eastAsia="Arial" w:hAnsi="Arial" w:cs="Arial"/>
                      <w:color w:val="000000"/>
                      <w:sz w:val="16"/>
                    </w:rPr>
                  </w:pPr>
                </w:p>
              </w:tc>
              <w:tc>
                <w:tcPr>
                  <w:tcW w:w="2437" w:type="dxa"/>
                  <w:tcBorders>
                    <w:right w:val="single" w:sz="4" w:space="0" w:color="000000"/>
                  </w:tcBorders>
                  <w:shd w:val="clear" w:color="auto" w:fill="auto"/>
                  <w:noWrap/>
                  <w:tcMar>
                    <w:left w:w="56" w:type="dxa"/>
                    <w:right w:w="56" w:type="dxa"/>
                  </w:tcMar>
                  <w:vAlign w:val="center"/>
                </w:tcPr>
                <w:p w14:paraId="3380BAFE" w14:textId="77777777" w:rsidR="007253AC" w:rsidRDefault="007253AC">
                  <w:pPr>
                    <w:autoSpaceDE w:val="0"/>
                    <w:autoSpaceDN w:val="0"/>
                    <w:jc w:val="both"/>
                    <w:rPr>
                      <w:rFonts w:ascii="Arial" w:eastAsia="Arial" w:hAnsi="Arial" w:cs="Arial"/>
                      <w:color w:val="000000"/>
                      <w:sz w:val="16"/>
                    </w:rPr>
                  </w:pPr>
                </w:p>
              </w:tc>
            </w:tr>
            <w:tr w:rsidR="007253AC" w14:paraId="67BDFB59" w14:textId="77777777">
              <w:tc>
                <w:tcPr>
                  <w:tcW w:w="4987" w:type="dxa"/>
                  <w:gridSpan w:val="3"/>
                  <w:tcBorders>
                    <w:left w:val="single" w:sz="4" w:space="0" w:color="000000"/>
                    <w:right w:val="single" w:sz="4" w:space="0" w:color="000000"/>
                  </w:tcBorders>
                  <w:shd w:val="clear" w:color="auto" w:fill="auto"/>
                  <w:tcMar>
                    <w:left w:w="56" w:type="dxa"/>
                    <w:right w:w="56" w:type="dxa"/>
                  </w:tcMar>
                  <w:vAlign w:val="center"/>
                </w:tcPr>
                <w:p w14:paraId="46B6A3FD" w14:textId="77777777" w:rsidR="007253AC" w:rsidRDefault="00240C9A">
                  <w:pPr>
                    <w:autoSpaceDE w:val="0"/>
                    <w:autoSpaceDN w:val="0"/>
                    <w:spacing w:after="60"/>
                    <w:jc w:val="both"/>
                  </w:pPr>
                  <w:r>
                    <w:rPr>
                      <w:rFonts w:ascii="Arial" w:eastAsia="Arial" w:hAnsi="Arial" w:cs="Arial"/>
                      <w:color w:val="000000"/>
                      <w:sz w:val="16"/>
                    </w:rPr>
                    <w:t>This is the maximum that might be taken out of your money before it is invested or before the proceeds of your investment are paid out.</w:t>
                  </w:r>
                </w:p>
              </w:tc>
            </w:tr>
            <w:tr w:rsidR="007253AC" w14:paraId="2F5AE046" w14:textId="77777777">
              <w:trPr>
                <w:trHeight w:hRule="exact" w:val="226"/>
              </w:trPr>
              <w:tc>
                <w:tcPr>
                  <w:tcW w:w="1984" w:type="dxa"/>
                  <w:tcBorders>
                    <w:left w:val="single" w:sz="4" w:space="0" w:color="000000"/>
                    <w:bottom w:val="single" w:sz="4" w:space="0" w:color="000000"/>
                  </w:tcBorders>
                  <w:shd w:val="clear" w:color="auto" w:fill="auto"/>
                  <w:noWrap/>
                  <w:tcMar>
                    <w:left w:w="56" w:type="dxa"/>
                    <w:right w:w="56" w:type="dxa"/>
                  </w:tcMar>
                  <w:vAlign w:val="center"/>
                </w:tcPr>
                <w:p w14:paraId="7E606862" w14:textId="77777777" w:rsidR="007253AC" w:rsidRDefault="007253AC">
                  <w:pPr>
                    <w:autoSpaceDE w:val="0"/>
                    <w:autoSpaceDN w:val="0"/>
                    <w:jc w:val="both"/>
                    <w:rPr>
                      <w:rFonts w:ascii="Arial" w:eastAsia="Arial" w:hAnsi="Arial" w:cs="Arial"/>
                      <w:color w:val="000000"/>
                      <w:sz w:val="16"/>
                    </w:rPr>
                  </w:pPr>
                </w:p>
              </w:tc>
              <w:tc>
                <w:tcPr>
                  <w:tcW w:w="566" w:type="dxa"/>
                  <w:tcBorders>
                    <w:bottom w:val="single" w:sz="4" w:space="0" w:color="000000"/>
                  </w:tcBorders>
                  <w:shd w:val="clear" w:color="auto" w:fill="auto"/>
                  <w:noWrap/>
                  <w:tcMar>
                    <w:left w:w="56" w:type="dxa"/>
                    <w:right w:w="56" w:type="dxa"/>
                  </w:tcMar>
                  <w:vAlign w:val="center"/>
                </w:tcPr>
                <w:p w14:paraId="53917CC0" w14:textId="77777777" w:rsidR="007253AC" w:rsidRDefault="007253AC">
                  <w:pPr>
                    <w:autoSpaceDE w:val="0"/>
                    <w:autoSpaceDN w:val="0"/>
                    <w:jc w:val="both"/>
                    <w:rPr>
                      <w:rFonts w:ascii="Arial" w:eastAsia="Arial" w:hAnsi="Arial" w:cs="Arial"/>
                      <w:color w:val="000000"/>
                      <w:sz w:val="16"/>
                    </w:rPr>
                  </w:pP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0F6BA30D" w14:textId="77777777" w:rsidR="007253AC" w:rsidRDefault="007253AC">
                  <w:pPr>
                    <w:autoSpaceDE w:val="0"/>
                    <w:autoSpaceDN w:val="0"/>
                    <w:jc w:val="both"/>
                    <w:rPr>
                      <w:rFonts w:ascii="Arial" w:eastAsia="Arial" w:hAnsi="Arial" w:cs="Arial"/>
                      <w:color w:val="000000"/>
                      <w:sz w:val="16"/>
                    </w:rPr>
                  </w:pPr>
                </w:p>
              </w:tc>
            </w:tr>
            <w:tr w:rsidR="007253AC" w14:paraId="4ACED66F" w14:textId="77777777">
              <w:trPr>
                <w:trHeight w:hRule="exact" w:val="283"/>
              </w:trPr>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4C5A99E5" w14:textId="77777777" w:rsidR="007253AC" w:rsidRDefault="00240C9A">
                  <w:pPr>
                    <w:autoSpaceDE w:val="0"/>
                    <w:autoSpaceDN w:val="0"/>
                    <w:spacing w:before="80" w:after="80"/>
                    <w:jc w:val="both"/>
                  </w:pPr>
                  <w:r>
                    <w:rPr>
                      <w:rFonts w:ascii="Arial" w:eastAsia="Arial" w:hAnsi="Arial" w:cs="Arial"/>
                      <w:b/>
                      <w:color w:val="000000"/>
                      <w:sz w:val="16"/>
                    </w:rPr>
                    <w:t>Charges taken from the Fund over a year</w:t>
                  </w:r>
                </w:p>
              </w:tc>
            </w:tr>
            <w:tr w:rsidR="007253AC" w14:paraId="653DD8A2" w14:textId="77777777">
              <w:trPr>
                <w:trHeight w:hRule="exact" w:val="283"/>
              </w:trPr>
              <w:tc>
                <w:tcPr>
                  <w:tcW w:w="1984" w:type="dxa"/>
                  <w:tcBorders>
                    <w:left w:val="single" w:sz="4" w:space="0" w:color="000000"/>
                    <w:bottom w:val="single" w:sz="4" w:space="0" w:color="000000"/>
                  </w:tcBorders>
                  <w:shd w:val="clear" w:color="auto" w:fill="auto"/>
                  <w:noWrap/>
                  <w:tcMar>
                    <w:left w:w="56" w:type="dxa"/>
                    <w:right w:w="56" w:type="dxa"/>
                  </w:tcMar>
                  <w:vAlign w:val="bottom"/>
                </w:tcPr>
                <w:p w14:paraId="7C053DE8" w14:textId="77777777" w:rsidR="007253AC" w:rsidRDefault="00240C9A">
                  <w:pPr>
                    <w:autoSpaceDE w:val="0"/>
                    <w:autoSpaceDN w:val="0"/>
                    <w:jc w:val="both"/>
                  </w:pPr>
                  <w:r>
                    <w:rPr>
                      <w:rFonts w:ascii="Arial" w:eastAsia="Arial" w:hAnsi="Arial" w:cs="Arial"/>
                      <w:color w:val="000000"/>
                      <w:sz w:val="16"/>
                    </w:rPr>
                    <w:t>Ongoing charges</w:t>
                  </w:r>
                </w:p>
              </w:tc>
              <w:tc>
                <w:tcPr>
                  <w:tcW w:w="566" w:type="dxa"/>
                  <w:tcBorders>
                    <w:bottom w:val="single" w:sz="4" w:space="0" w:color="000000"/>
                  </w:tcBorders>
                  <w:shd w:val="clear" w:color="auto" w:fill="auto"/>
                  <w:noWrap/>
                  <w:tcMar>
                    <w:left w:w="56" w:type="dxa"/>
                    <w:right w:w="56" w:type="dxa"/>
                  </w:tcMar>
                  <w:vAlign w:val="center"/>
                </w:tcPr>
                <w:p w14:paraId="7024E876" w14:textId="52AE91B4" w:rsidR="007253AC" w:rsidRDefault="00BB46E6">
                  <w:pPr>
                    <w:autoSpaceDE w:val="0"/>
                    <w:autoSpaceDN w:val="0"/>
                    <w:jc w:val="both"/>
                  </w:pPr>
                  <w:r>
                    <w:rPr>
                      <w:rFonts w:ascii="Arial" w:eastAsia="Arial" w:hAnsi="Arial" w:cs="Arial"/>
                      <w:color w:val="000000"/>
                      <w:sz w:val="16"/>
                    </w:rPr>
                    <w:t>.84</w:t>
                  </w:r>
                  <w:r w:rsidR="00240C9A">
                    <w:rPr>
                      <w:rFonts w:ascii="Arial" w:eastAsia="Arial" w:hAnsi="Arial" w:cs="Arial"/>
                      <w:color w:val="000000"/>
                      <w:sz w:val="16"/>
                    </w:rPr>
                    <w:t>%</w:t>
                  </w: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52F6E862" w14:textId="77777777" w:rsidR="007253AC" w:rsidRDefault="007253AC">
                  <w:pPr>
                    <w:autoSpaceDE w:val="0"/>
                    <w:autoSpaceDN w:val="0"/>
                    <w:jc w:val="both"/>
                    <w:rPr>
                      <w:rFonts w:ascii="Arial" w:eastAsia="Arial" w:hAnsi="Arial" w:cs="Arial"/>
                      <w:color w:val="000000"/>
                      <w:sz w:val="16"/>
                    </w:rPr>
                  </w:pPr>
                </w:p>
              </w:tc>
            </w:tr>
            <w:tr w:rsidR="007253AC" w14:paraId="49B5211A" w14:textId="77777777">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10ACA150" w14:textId="77777777" w:rsidR="007253AC" w:rsidRDefault="00240C9A">
                  <w:pPr>
                    <w:autoSpaceDE w:val="0"/>
                    <w:autoSpaceDN w:val="0"/>
                    <w:spacing w:before="80" w:after="80"/>
                    <w:jc w:val="both"/>
                  </w:pPr>
                  <w:r>
                    <w:rPr>
                      <w:rFonts w:ascii="Arial" w:eastAsia="Arial" w:hAnsi="Arial" w:cs="Arial"/>
                      <w:b/>
                      <w:color w:val="000000"/>
                      <w:sz w:val="16"/>
                    </w:rPr>
                    <w:t>Charges taken from the Fund under certain specific conditions</w:t>
                  </w:r>
                </w:p>
              </w:tc>
            </w:tr>
            <w:tr w:rsidR="007253AC" w14:paraId="2F8CEDA3" w14:textId="77777777">
              <w:tc>
                <w:tcPr>
                  <w:tcW w:w="1984" w:type="dxa"/>
                  <w:tcBorders>
                    <w:left w:val="single" w:sz="4" w:space="0" w:color="000000"/>
                    <w:bottom w:val="single" w:sz="4" w:space="0" w:color="000000"/>
                  </w:tcBorders>
                  <w:shd w:val="clear" w:color="auto" w:fill="auto"/>
                  <w:noWrap/>
                  <w:tcMar>
                    <w:left w:w="56" w:type="dxa"/>
                    <w:right w:w="56" w:type="dxa"/>
                  </w:tcMar>
                  <w:vAlign w:val="center"/>
                </w:tcPr>
                <w:p w14:paraId="44C3AE46" w14:textId="77777777" w:rsidR="007253AC" w:rsidRDefault="00240C9A">
                  <w:pPr>
                    <w:autoSpaceDE w:val="0"/>
                    <w:autoSpaceDN w:val="0"/>
                    <w:jc w:val="both"/>
                  </w:pPr>
                  <w:r>
                    <w:rPr>
                      <w:rFonts w:ascii="Arial" w:eastAsia="Arial" w:hAnsi="Arial" w:cs="Arial"/>
                      <w:color w:val="000000"/>
                      <w:sz w:val="16"/>
                    </w:rPr>
                    <w:t>Performance Fee</w:t>
                  </w:r>
                </w:p>
              </w:tc>
              <w:tc>
                <w:tcPr>
                  <w:tcW w:w="3003" w:type="dxa"/>
                  <w:gridSpan w:val="2"/>
                  <w:tcBorders>
                    <w:bottom w:val="single" w:sz="4" w:space="0" w:color="000000"/>
                    <w:right w:val="single" w:sz="4" w:space="0" w:color="000000"/>
                  </w:tcBorders>
                  <w:shd w:val="clear" w:color="auto" w:fill="auto"/>
                  <w:tcMar>
                    <w:left w:w="56" w:type="dxa"/>
                    <w:right w:w="56" w:type="dxa"/>
                  </w:tcMar>
                  <w:vAlign w:val="center"/>
                </w:tcPr>
                <w:p w14:paraId="22018661" w14:textId="48584EBE" w:rsidR="007253AC" w:rsidRDefault="00C7494C">
                  <w:pPr>
                    <w:autoSpaceDE w:val="0"/>
                    <w:autoSpaceDN w:val="0"/>
                  </w:pPr>
                  <w:r>
                    <w:rPr>
                      <w:rFonts w:ascii="Arial" w:eastAsia="Arial" w:hAnsi="Arial" w:cs="Arial"/>
                      <w:color w:val="000000"/>
                      <w:sz w:val="16"/>
                    </w:rPr>
                    <w:t>15</w:t>
                  </w:r>
                  <w:r w:rsidR="00240C9A">
                    <w:rPr>
                      <w:rFonts w:ascii="Arial" w:eastAsia="Arial" w:hAnsi="Arial" w:cs="Arial"/>
                      <w:color w:val="000000"/>
                      <w:sz w:val="16"/>
                    </w:rPr>
                    <w:t>%</w:t>
                  </w:r>
                </w:p>
              </w:tc>
            </w:tr>
          </w:tbl>
          <w:p w14:paraId="4C855B1C" w14:textId="77777777" w:rsidR="007253AC" w:rsidRDefault="007253AC">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7253AC" w14:paraId="64C20115" w14:textId="77777777">
              <w:trPr>
                <w:trHeight w:hRule="exact" w:val="170"/>
              </w:trPr>
              <w:tc>
                <w:tcPr>
                  <w:tcW w:w="510" w:type="dxa"/>
                  <w:shd w:val="clear" w:color="auto" w:fill="auto"/>
                  <w:noWrap/>
                  <w:tcMar>
                    <w:left w:w="20" w:type="dxa"/>
                    <w:right w:w="20" w:type="dxa"/>
                  </w:tcMar>
                </w:tcPr>
                <w:p w14:paraId="3305134B" w14:textId="77777777" w:rsidR="007253AC" w:rsidRDefault="007253AC">
                  <w:pPr>
                    <w:autoSpaceDE w:val="0"/>
                    <w:autoSpaceDN w:val="0"/>
                    <w:rPr>
                      <w:rFonts w:ascii="Arial" w:eastAsia="Arial" w:hAnsi="Arial" w:cs="Arial"/>
                      <w:color w:val="000000"/>
                      <w:sz w:val="18"/>
                    </w:rPr>
                  </w:pPr>
                </w:p>
              </w:tc>
            </w:tr>
          </w:tbl>
          <w:p w14:paraId="01B05E7F" w14:textId="77777777" w:rsidR="007253AC" w:rsidRDefault="007253AC">
            <w:pPr>
              <w:keepNext/>
              <w:autoSpaceDE w:val="0"/>
              <w:autoSpaceDN w:val="0"/>
              <w:rPr>
                <w:vanish/>
                <w:sz w:val="2"/>
                <w:szCs w:val="2"/>
              </w:rPr>
            </w:pPr>
          </w:p>
        </w:tc>
        <w:tc>
          <w:tcPr>
            <w:tcW w:w="5017" w:type="dxa"/>
          </w:tcPr>
          <w:tbl>
            <w:tblPr>
              <w:tblW w:w="5017" w:type="dxa"/>
              <w:tblLayout w:type="fixed"/>
              <w:tblCellMar>
                <w:left w:w="0" w:type="dxa"/>
                <w:right w:w="0" w:type="dxa"/>
              </w:tblCellMar>
              <w:tblLook w:val="04A0" w:firstRow="1" w:lastRow="0" w:firstColumn="1" w:lastColumn="0" w:noHBand="0" w:noVBand="1"/>
            </w:tblPr>
            <w:tblGrid>
              <w:gridCol w:w="5017"/>
            </w:tblGrid>
            <w:tr w:rsidR="007253AC" w14:paraId="3B3A0262" w14:textId="77777777">
              <w:tc>
                <w:tcPr>
                  <w:tcW w:w="5017" w:type="dxa"/>
                  <w:shd w:val="clear" w:color="auto" w:fill="auto"/>
                  <w:noWrap/>
                  <w:tcMar>
                    <w:left w:w="56" w:type="dxa"/>
                    <w:right w:w="56" w:type="dxa"/>
                  </w:tcMar>
                  <w:vAlign w:val="center"/>
                </w:tcPr>
                <w:p w14:paraId="6625D5C6" w14:textId="77777777" w:rsidR="007253AC" w:rsidRDefault="00240C9A">
                  <w:pPr>
                    <w:keepLines/>
                    <w:autoSpaceDE w:val="0"/>
                    <w:autoSpaceDN w:val="0"/>
                    <w:jc w:val="both"/>
                  </w:pPr>
                  <w:r>
                    <w:rPr>
                      <w:rFonts w:ascii="Arial" w:eastAsia="Arial" w:hAnsi="Arial" w:cs="Arial"/>
                      <w:color w:val="000000"/>
                      <w:sz w:val="16"/>
                    </w:rPr>
                    <w:t>Exit and Entry charges shown are maximum figures, and in some cases an investor may pay substantially less, or there will be no charges at all. You can find out the actual entry and exit charges from your financial advisor, distributor or the Manager of the Fund.</w:t>
                  </w:r>
                </w:p>
                <w:p w14:paraId="5486EA24" w14:textId="77777777" w:rsidR="007253AC" w:rsidRDefault="00240C9A">
                  <w:pPr>
                    <w:keepLines/>
                    <w:autoSpaceDE w:val="0"/>
                    <w:autoSpaceDN w:val="0"/>
                    <w:jc w:val="both"/>
                  </w:pPr>
                  <w:r>
                    <w:rPr>
                      <w:rFonts w:ascii="Arial" w:eastAsia="Arial" w:hAnsi="Arial" w:cs="Arial"/>
                      <w:color w:val="000000"/>
                      <w:sz w:val="16"/>
                    </w:rPr>
                    <w:t> </w:t>
                  </w:r>
                </w:p>
                <w:p w14:paraId="56D1566C" w14:textId="77777777" w:rsidR="007253AC" w:rsidRDefault="00240C9A">
                  <w:pPr>
                    <w:keepLines/>
                    <w:autoSpaceDE w:val="0"/>
                    <w:autoSpaceDN w:val="0"/>
                    <w:jc w:val="both"/>
                  </w:pPr>
                  <w:r>
                    <w:rPr>
                      <w:rFonts w:ascii="Arial" w:eastAsia="Arial" w:hAnsi="Arial" w:cs="Arial"/>
                      <w:color w:val="000000"/>
                      <w:sz w:val="16"/>
                    </w:rPr>
                    <w:t>There is no charge for switching between sub-funds up to a maximum of four times per annum. Shareholders who switch on more than four occasions per annum may be subject to a charge of Euro 40 per switching transaction.</w:t>
                  </w:r>
                </w:p>
                <w:p w14:paraId="37ED43ED" w14:textId="77777777" w:rsidR="007253AC" w:rsidRDefault="00240C9A">
                  <w:pPr>
                    <w:keepLines/>
                    <w:autoSpaceDE w:val="0"/>
                    <w:autoSpaceDN w:val="0"/>
                    <w:jc w:val="both"/>
                  </w:pPr>
                  <w:r>
                    <w:rPr>
                      <w:rFonts w:ascii="Arial" w:eastAsia="Arial" w:hAnsi="Arial" w:cs="Arial"/>
                      <w:color w:val="000000"/>
                      <w:sz w:val="16"/>
                    </w:rPr>
                    <w:t> </w:t>
                  </w:r>
                </w:p>
                <w:p w14:paraId="2453BB02" w14:textId="77777777" w:rsidR="007253AC" w:rsidRDefault="00240C9A">
                  <w:pPr>
                    <w:keepLines/>
                    <w:autoSpaceDE w:val="0"/>
                    <w:autoSpaceDN w:val="0"/>
                    <w:jc w:val="both"/>
                  </w:pPr>
                  <w:r>
                    <w:rPr>
                      <w:rFonts w:ascii="Arial" w:eastAsia="Arial" w:hAnsi="Arial" w:cs="Arial"/>
                      <w:color w:val="000000"/>
                      <w:sz w:val="16"/>
                    </w:rPr>
                    <w:t>The ongoing charges figure is an estimate based on a projection of the expenses of the Fund for the first twelve months of operation of the Fund. This figure may vary from year to year. It excludes portfolio transaction costs, except in the case of an entry or exit charge paid by the Fund when buying or selling units in another UCITS or collective investment undertaking.</w:t>
                  </w:r>
                </w:p>
              </w:tc>
            </w:tr>
          </w:tbl>
          <w:p w14:paraId="3B7A4E75" w14:textId="77777777" w:rsidR="007253AC" w:rsidRDefault="007253AC">
            <w:pPr>
              <w:keepNext/>
              <w:autoSpaceDE w:val="0"/>
              <w:autoSpaceDN w:val="0"/>
              <w:rPr>
                <w:vanish/>
                <w:sz w:val="2"/>
                <w:szCs w:val="2"/>
              </w:rPr>
            </w:pPr>
          </w:p>
        </w:tc>
      </w:tr>
    </w:tbl>
    <w:p w14:paraId="255BBB87" w14:textId="77777777" w:rsidR="007253AC" w:rsidRDefault="007253A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7253AC" w14:paraId="6D438031" w14:textId="77777777">
        <w:tc>
          <w:tcPr>
            <w:tcW w:w="10544" w:type="dxa"/>
            <w:shd w:val="clear" w:color="auto" w:fill="auto"/>
            <w:noWrap/>
            <w:tcMar>
              <w:left w:w="56" w:type="dxa"/>
              <w:right w:w="56" w:type="dxa"/>
            </w:tcMar>
            <w:vAlign w:val="center"/>
          </w:tcPr>
          <w:p w14:paraId="4B35E29D" w14:textId="77777777" w:rsidR="007253AC" w:rsidRDefault="00240C9A">
            <w:pPr>
              <w:keepLines/>
              <w:autoSpaceDE w:val="0"/>
              <w:autoSpaceDN w:val="0"/>
              <w:spacing w:before="180" w:after="180"/>
              <w:jc w:val="both"/>
            </w:pPr>
            <w:r>
              <w:rPr>
                <w:rFonts w:ascii="Arial" w:eastAsia="Arial" w:hAnsi="Arial" w:cs="Arial"/>
                <w:color w:val="000000"/>
                <w:sz w:val="16"/>
              </w:rPr>
              <w:t>You can find more details about the charges in the section of the Fund's Prospectus entitled Fees and Expenses.</w:t>
            </w:r>
          </w:p>
        </w:tc>
      </w:tr>
    </w:tbl>
    <w:p w14:paraId="5199CBDD" w14:textId="77777777" w:rsidR="007253AC" w:rsidRDefault="007253AC">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7253AC" w14:paraId="614AC03E" w14:textId="77777777">
        <w:trPr>
          <w:trHeight w:hRule="exact" w:val="283"/>
        </w:trPr>
        <w:tc>
          <w:tcPr>
            <w:tcW w:w="10544" w:type="dxa"/>
            <w:shd w:val="clear" w:color="auto" w:fill="auto"/>
            <w:noWrap/>
            <w:tcMar>
              <w:left w:w="20" w:type="dxa"/>
              <w:right w:w="20" w:type="dxa"/>
            </w:tcMar>
          </w:tcPr>
          <w:p w14:paraId="142EC510" w14:textId="77777777" w:rsidR="007253AC" w:rsidRDefault="007253AC">
            <w:pPr>
              <w:autoSpaceDE w:val="0"/>
              <w:autoSpaceDN w:val="0"/>
              <w:rPr>
                <w:rFonts w:ascii="Arial" w:eastAsia="Arial" w:hAnsi="Arial" w:cs="Arial"/>
                <w:color w:val="000000"/>
                <w:sz w:val="18"/>
              </w:rPr>
            </w:pPr>
          </w:p>
        </w:tc>
      </w:tr>
    </w:tbl>
    <w:p w14:paraId="0BBDE4AA" w14:textId="77777777" w:rsidR="007253AC" w:rsidRDefault="007253A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7253AC" w14:paraId="2B022A75"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0EFA14F1" w14:textId="77777777" w:rsidR="007253AC" w:rsidRDefault="00240C9A">
            <w:pPr>
              <w:keepNext/>
              <w:autoSpaceDE w:val="0"/>
              <w:autoSpaceDN w:val="0"/>
            </w:pPr>
            <w:r>
              <w:rPr>
                <w:rFonts w:ascii="Arial" w:eastAsia="Arial" w:hAnsi="Arial" w:cs="Arial"/>
                <w:b/>
                <w:color w:val="000000"/>
                <w:sz w:val="18"/>
              </w:rPr>
              <w:t>Past Performance</w:t>
            </w:r>
          </w:p>
        </w:tc>
      </w:tr>
      <w:tr w:rsidR="007253AC" w14:paraId="29E0871A" w14:textId="77777777">
        <w:trPr>
          <w:trHeight w:hRule="exact" w:val="226"/>
        </w:trPr>
        <w:tc>
          <w:tcPr>
            <w:tcW w:w="10544" w:type="dxa"/>
            <w:shd w:val="clear" w:color="auto" w:fill="auto"/>
            <w:noWrap/>
            <w:tcMar>
              <w:left w:w="20" w:type="dxa"/>
              <w:right w:w="20" w:type="dxa"/>
            </w:tcMar>
          </w:tcPr>
          <w:p w14:paraId="5394F50F" w14:textId="77777777" w:rsidR="00C7494C" w:rsidRPr="00E1685C" w:rsidRDefault="00C7494C" w:rsidP="00C7494C">
            <w:pPr>
              <w:pStyle w:val="DENormal"/>
              <w:spacing w:after="0" w:line="240" w:lineRule="auto"/>
              <w:jc w:val="left"/>
              <w:rPr>
                <w:b/>
                <w:sz w:val="16"/>
              </w:rPr>
            </w:pPr>
            <w:r w:rsidRPr="00E1685C">
              <w:rPr>
                <w:b/>
                <w:sz w:val="16"/>
              </w:rPr>
              <w:t>There is insufficient data for this Share Class to provide a useful indication of past performance.</w:t>
            </w:r>
          </w:p>
          <w:p w14:paraId="0D239A3B" w14:textId="77777777" w:rsidR="007253AC" w:rsidRDefault="007253AC">
            <w:pPr>
              <w:autoSpaceDE w:val="0"/>
              <w:autoSpaceDN w:val="0"/>
              <w:rPr>
                <w:rFonts w:ascii="Arial" w:eastAsia="Arial" w:hAnsi="Arial" w:cs="Arial"/>
                <w:color w:val="000000"/>
                <w:sz w:val="18"/>
              </w:rPr>
            </w:pPr>
          </w:p>
        </w:tc>
      </w:tr>
    </w:tbl>
    <w:p w14:paraId="25ABB6BB" w14:textId="77777777" w:rsidR="007253AC" w:rsidRDefault="007253AC">
      <w:pPr>
        <w:keepNext/>
        <w:autoSpaceDE w:val="0"/>
        <w:autoSpaceDN w:val="0"/>
        <w:rPr>
          <w:vanish/>
          <w:sz w:val="2"/>
          <w:szCs w:val="2"/>
        </w:rPr>
      </w:pPr>
    </w:p>
    <w:p w14:paraId="2AFEDDB7" w14:textId="77777777" w:rsidR="007253AC" w:rsidRDefault="007253AC">
      <w:pPr>
        <w:keepNext/>
        <w:autoSpaceDE w:val="0"/>
        <w:autoSpaceDN w:val="0"/>
        <w:rPr>
          <w:vanish/>
          <w:sz w:val="2"/>
          <w:szCs w:val="2"/>
        </w:rPr>
      </w:pPr>
    </w:p>
    <w:p w14:paraId="2FF31F75" w14:textId="77777777" w:rsidR="007253AC" w:rsidRDefault="007253A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7253AC" w14:paraId="38AA5E5A"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1D0A8C05" w14:textId="77777777" w:rsidR="007253AC" w:rsidRDefault="00240C9A">
            <w:pPr>
              <w:keepNext/>
              <w:autoSpaceDE w:val="0"/>
              <w:autoSpaceDN w:val="0"/>
            </w:pPr>
            <w:r>
              <w:rPr>
                <w:rFonts w:ascii="Arial" w:eastAsia="Arial" w:hAnsi="Arial" w:cs="Arial"/>
                <w:b/>
                <w:color w:val="000000"/>
                <w:sz w:val="18"/>
              </w:rPr>
              <w:t>Practical Information</w:t>
            </w:r>
          </w:p>
        </w:tc>
      </w:tr>
      <w:tr w:rsidR="007253AC" w14:paraId="455551C9" w14:textId="77777777">
        <w:trPr>
          <w:trHeight w:hRule="exact" w:val="226"/>
        </w:trPr>
        <w:tc>
          <w:tcPr>
            <w:tcW w:w="10544" w:type="dxa"/>
            <w:shd w:val="clear" w:color="auto" w:fill="auto"/>
            <w:noWrap/>
            <w:tcMar>
              <w:left w:w="20" w:type="dxa"/>
              <w:right w:w="20" w:type="dxa"/>
            </w:tcMar>
          </w:tcPr>
          <w:p w14:paraId="7AF287EC" w14:textId="77777777" w:rsidR="007253AC" w:rsidRDefault="007253AC">
            <w:pPr>
              <w:autoSpaceDE w:val="0"/>
              <w:autoSpaceDN w:val="0"/>
              <w:rPr>
                <w:rFonts w:ascii="Arial" w:eastAsia="Arial" w:hAnsi="Arial" w:cs="Arial"/>
                <w:color w:val="000000"/>
                <w:sz w:val="18"/>
              </w:rPr>
            </w:pPr>
          </w:p>
        </w:tc>
      </w:tr>
    </w:tbl>
    <w:p w14:paraId="752F58F8" w14:textId="77777777" w:rsidR="007253AC" w:rsidRDefault="007253AC">
      <w:pPr>
        <w:keepNext/>
        <w:autoSpaceDE w:val="0"/>
        <w:autoSpaceDN w:val="0"/>
        <w:rPr>
          <w:vanish/>
          <w:sz w:val="2"/>
          <w:szCs w:val="2"/>
        </w:rPr>
      </w:pPr>
    </w:p>
    <w:tbl>
      <w:tblPr>
        <w:tblW w:w="10488" w:type="dxa"/>
        <w:tblInd w:w="56" w:type="dxa"/>
        <w:tblLayout w:type="fixed"/>
        <w:tblCellMar>
          <w:left w:w="0" w:type="dxa"/>
          <w:right w:w="0" w:type="dxa"/>
        </w:tblCellMar>
        <w:tblLook w:val="04A0" w:firstRow="1" w:lastRow="0" w:firstColumn="1" w:lastColumn="0" w:noHBand="0" w:noVBand="1"/>
      </w:tblPr>
      <w:tblGrid>
        <w:gridCol w:w="4989"/>
        <w:gridCol w:w="510"/>
        <w:gridCol w:w="4989"/>
      </w:tblGrid>
      <w:tr w:rsidR="007253AC" w14:paraId="36D34EE7" w14:textId="77777777">
        <w:tc>
          <w:tcPr>
            <w:tcW w:w="4989" w:type="dxa"/>
            <w:shd w:val="clear" w:color="auto" w:fill="auto"/>
            <w:noWrap/>
            <w:tcMar>
              <w:left w:w="56" w:type="dxa"/>
              <w:right w:w="56" w:type="dxa"/>
            </w:tcMar>
          </w:tcPr>
          <w:p w14:paraId="347510D7" w14:textId="77777777" w:rsidR="007253AC" w:rsidRDefault="00240C9A">
            <w:pPr>
              <w:keepNext/>
              <w:keepLines/>
              <w:autoSpaceDE w:val="0"/>
              <w:autoSpaceDN w:val="0"/>
              <w:jc w:val="both"/>
            </w:pPr>
            <w:r>
              <w:rPr>
                <w:rFonts w:ascii="Arial" w:eastAsia="Arial" w:hAnsi="Arial" w:cs="Arial"/>
                <w:b/>
                <w:color w:val="000000"/>
                <w:sz w:val="16"/>
              </w:rPr>
              <w:t>Fund Depositary:</w:t>
            </w:r>
            <w:r>
              <w:rPr>
                <w:rFonts w:ascii="Arial" w:eastAsia="Arial" w:hAnsi="Arial" w:cs="Arial"/>
                <w:color w:val="000000"/>
                <w:sz w:val="16"/>
              </w:rPr>
              <w:t xml:space="preserve"> Northern Trust Fiduciary Services (Ireland) Limited</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Further Information:</w:t>
            </w:r>
            <w:r>
              <w:rPr>
                <w:rFonts w:ascii="Arial" w:eastAsia="Arial" w:hAnsi="Arial" w:cs="Arial"/>
                <w:color w:val="000000"/>
                <w:sz w:val="16"/>
              </w:rPr>
              <w:t xml:space="preserve"> Copies of the Prospectus and the annual and half-yearly reports of Prescient Global Funds ICAV. (the "ICAV") are available in English and may be obtained, free of charge, from "the Manager" at 35 Merrion Sq East, Dublin 2, Ireland or by visiting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Share Price / NAV:</w:t>
            </w:r>
            <w:r>
              <w:rPr>
                <w:rFonts w:ascii="Arial" w:eastAsia="Arial" w:hAnsi="Arial" w:cs="Arial"/>
                <w:color w:val="000000"/>
                <w:sz w:val="16"/>
              </w:rPr>
              <w:t xml:space="preserve"> The net asset value of the Fund is calculated in USD. The unit prices are published in USD on each Business Day. The prices are available from the Investment Manager and the Manager during normal business hours and will be published on Prescient Fund Services (Ireland)'s website at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Taxation:</w:t>
            </w:r>
            <w:r>
              <w:rPr>
                <w:rFonts w:ascii="Arial" w:eastAsia="Arial" w:hAnsi="Arial" w:cs="Arial"/>
                <w:color w:val="000000"/>
                <w:sz w:val="16"/>
              </w:rPr>
              <w:t xml:space="preserve"> The Fund is subject to tax laws and regulations of Ireland. Depending on your home country of residence, this might have an impact on your investment. For further details, please speak to an adviser.</w:t>
            </w:r>
          </w:p>
        </w:tc>
        <w:tc>
          <w:tcPr>
            <w:tcW w:w="510" w:type="dxa"/>
            <w:shd w:val="clear" w:color="auto" w:fill="auto"/>
            <w:noWrap/>
            <w:tcMar>
              <w:left w:w="56" w:type="dxa"/>
              <w:right w:w="56" w:type="dxa"/>
            </w:tcMar>
            <w:vAlign w:val="center"/>
          </w:tcPr>
          <w:p w14:paraId="0A13CD91" w14:textId="77777777" w:rsidR="007253AC" w:rsidRDefault="007253AC">
            <w:pPr>
              <w:keepNext/>
              <w:autoSpaceDE w:val="0"/>
              <w:autoSpaceDN w:val="0"/>
              <w:jc w:val="both"/>
              <w:rPr>
                <w:rFonts w:ascii="Arial" w:eastAsia="Arial" w:hAnsi="Arial" w:cs="Arial"/>
                <w:color w:val="000000"/>
                <w:sz w:val="16"/>
              </w:rPr>
            </w:pPr>
          </w:p>
        </w:tc>
        <w:tc>
          <w:tcPr>
            <w:tcW w:w="4989" w:type="dxa"/>
            <w:shd w:val="clear" w:color="auto" w:fill="auto"/>
            <w:noWrap/>
            <w:tcMar>
              <w:left w:w="56" w:type="dxa"/>
              <w:right w:w="56" w:type="dxa"/>
            </w:tcMar>
          </w:tcPr>
          <w:p w14:paraId="34C1F5C3" w14:textId="77777777" w:rsidR="007253AC" w:rsidRDefault="00240C9A">
            <w:pPr>
              <w:keepNext/>
              <w:keepLines/>
              <w:autoSpaceDE w:val="0"/>
              <w:autoSpaceDN w:val="0"/>
              <w:jc w:val="both"/>
            </w:pPr>
            <w:r>
              <w:rPr>
                <w:rFonts w:ascii="Arial" w:eastAsia="Arial" w:hAnsi="Arial" w:cs="Arial"/>
                <w:b/>
                <w:color w:val="000000"/>
                <w:sz w:val="16"/>
              </w:rPr>
              <w:t>Switches:</w:t>
            </w:r>
            <w:r>
              <w:rPr>
                <w:rFonts w:ascii="Arial" w:eastAsia="Arial" w:hAnsi="Arial" w:cs="Arial"/>
                <w:color w:val="000000"/>
                <w:sz w:val="16"/>
              </w:rPr>
              <w:t xml:space="preserve"> You are entitled to switch your shares to shares in the same class of another sub-Fund of the ICAV, subject to the sub-Fund's switching charge - see under "Charges for this Fund". Please refer to the Prospectus for further information on how to switch.</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Fund Structure:</w:t>
            </w:r>
            <w:r>
              <w:rPr>
                <w:rFonts w:ascii="Arial" w:eastAsia="Arial" w:hAnsi="Arial" w:cs="Arial"/>
                <w:color w:val="000000"/>
                <w:sz w:val="16"/>
              </w:rPr>
              <w:t xml:space="preserve"> This document describes a share class of Benguela Global Equity Fund, a sub-Fund of the ICAV. The assets and liabilities of each sub-Fund of the ICAV are segregated subject to the provisions of Irish law. The Prospectus and Periodic Reports are prepared for the entire ICAV. You can find out more information about the ICAV in the Prospectus.</w:t>
            </w:r>
          </w:p>
          <w:p w14:paraId="0FFE1BA0" w14:textId="77777777" w:rsidR="007253AC" w:rsidRDefault="00240C9A">
            <w:pPr>
              <w:keepNext/>
              <w:keepLines/>
              <w:autoSpaceDE w:val="0"/>
              <w:autoSpaceDN w:val="0"/>
              <w:jc w:val="both"/>
            </w:pPr>
            <w:r>
              <w:rPr>
                <w:rFonts w:ascii="Arial" w:eastAsia="Arial" w:hAnsi="Arial" w:cs="Arial"/>
                <w:color w:val="000000"/>
                <w:sz w:val="16"/>
              </w:rPr>
              <w:t> </w:t>
            </w:r>
          </w:p>
          <w:p w14:paraId="22767E2D" w14:textId="77777777" w:rsidR="007253AC" w:rsidRDefault="00240C9A">
            <w:pPr>
              <w:keepNext/>
              <w:keepLines/>
              <w:autoSpaceDE w:val="0"/>
              <w:autoSpaceDN w:val="0"/>
              <w:jc w:val="both"/>
            </w:pPr>
            <w:r>
              <w:rPr>
                <w:rFonts w:ascii="Arial" w:eastAsia="Arial" w:hAnsi="Arial" w:cs="Arial"/>
                <w:b/>
                <w:color w:val="000000"/>
                <w:sz w:val="16"/>
              </w:rPr>
              <w:t>Remuneration:</w:t>
            </w:r>
            <w:r>
              <w:rPr>
                <w:rFonts w:ascii="Arial" w:eastAsia="Arial" w:hAnsi="Arial" w:cs="Arial"/>
                <w:color w:val="000000"/>
                <w:sz w:val="16"/>
              </w:rPr>
              <w:t xml:space="preserve"> 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www.prescient.ie. A paper copy of the remuneration policy will be made available free of charge upon request from the Manager.</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Responsibility for Information:</w:t>
            </w:r>
            <w:r>
              <w:rPr>
                <w:rFonts w:ascii="Arial" w:eastAsia="Arial" w:hAnsi="Arial" w:cs="Arial"/>
                <w:color w:val="000000"/>
                <w:sz w:val="16"/>
              </w:rPr>
              <w:t xml:space="preserve"> The Manager may be held liable solely on the basis of any statement contained in this document that is misleading, inaccurate or inconsistent with the relevant parts of the Prospectus for the Fund.</w:t>
            </w:r>
          </w:p>
        </w:tc>
      </w:tr>
      <w:tr w:rsidR="007253AC" w14:paraId="44068EDE" w14:textId="77777777">
        <w:trPr>
          <w:trHeight w:hRule="exact" w:val="226"/>
        </w:trPr>
        <w:tc>
          <w:tcPr>
            <w:tcW w:w="10488" w:type="dxa"/>
            <w:gridSpan w:val="3"/>
            <w:shd w:val="clear" w:color="auto" w:fill="auto"/>
            <w:noWrap/>
            <w:tcMar>
              <w:left w:w="56" w:type="dxa"/>
              <w:right w:w="56" w:type="dxa"/>
            </w:tcMar>
            <w:vAlign w:val="center"/>
          </w:tcPr>
          <w:p w14:paraId="6386C37D" w14:textId="77777777" w:rsidR="007253AC" w:rsidRDefault="007253AC">
            <w:pPr>
              <w:keepNext/>
              <w:autoSpaceDE w:val="0"/>
              <w:autoSpaceDN w:val="0"/>
              <w:jc w:val="both"/>
              <w:rPr>
                <w:rFonts w:ascii="Arial" w:eastAsia="Arial" w:hAnsi="Arial" w:cs="Arial"/>
                <w:color w:val="000000"/>
                <w:sz w:val="16"/>
              </w:rPr>
            </w:pPr>
          </w:p>
        </w:tc>
      </w:tr>
      <w:tr w:rsidR="007253AC" w14:paraId="5B581687" w14:textId="77777777">
        <w:tc>
          <w:tcPr>
            <w:tcW w:w="10488" w:type="dxa"/>
            <w:gridSpan w:val="3"/>
            <w:shd w:val="clear" w:color="auto" w:fill="auto"/>
            <w:noWrap/>
            <w:tcMar>
              <w:left w:w="56" w:type="dxa"/>
              <w:right w:w="56" w:type="dxa"/>
            </w:tcMar>
            <w:vAlign w:val="center"/>
          </w:tcPr>
          <w:p w14:paraId="4AA3A92C" w14:textId="0B38F95C" w:rsidR="007253AC" w:rsidRDefault="00240C9A">
            <w:pPr>
              <w:keepLines/>
              <w:autoSpaceDE w:val="0"/>
              <w:autoSpaceDN w:val="0"/>
            </w:pPr>
            <w:r>
              <w:rPr>
                <w:rFonts w:ascii="Arial" w:eastAsia="Arial" w:hAnsi="Arial" w:cs="Arial"/>
                <w:color w:val="000000"/>
                <w:sz w:val="16"/>
              </w:rPr>
              <w:t>The ICAV is authorised in Ireland and approved by the Central Bank of Ireland. The Manager is authorised in Ireland and regulated by the Central Bank of Ireland.</w:t>
            </w:r>
          </w:p>
          <w:p w14:paraId="039DE49D" w14:textId="2AB94B3B" w:rsidR="007253AC" w:rsidRDefault="00240C9A">
            <w:pPr>
              <w:keepLines/>
              <w:autoSpaceDE w:val="0"/>
              <w:autoSpaceDN w:val="0"/>
            </w:pPr>
            <w:r>
              <w:rPr>
                <w:rFonts w:ascii="Arial" w:eastAsia="Arial" w:hAnsi="Arial" w:cs="Arial"/>
                <w:color w:val="000000"/>
                <w:sz w:val="16"/>
              </w:rPr>
              <w:t xml:space="preserve">This Key Information Document is accurate as at </w:t>
            </w:r>
            <w:r w:rsidR="00C7494C">
              <w:rPr>
                <w:rFonts w:ascii="Arial" w:eastAsia="Arial" w:hAnsi="Arial" w:cs="Arial"/>
                <w:color w:val="000000"/>
                <w:sz w:val="16"/>
              </w:rPr>
              <w:t>2</w:t>
            </w:r>
            <w:r w:rsidR="0077541E">
              <w:rPr>
                <w:rFonts w:ascii="Arial" w:eastAsia="Arial" w:hAnsi="Arial" w:cs="Arial"/>
                <w:color w:val="000000"/>
                <w:sz w:val="16"/>
              </w:rPr>
              <w:t>8</w:t>
            </w:r>
            <w:r w:rsidR="00C7494C">
              <w:rPr>
                <w:rFonts w:ascii="Arial" w:eastAsia="Arial" w:hAnsi="Arial" w:cs="Arial"/>
                <w:color w:val="000000"/>
                <w:sz w:val="16"/>
              </w:rPr>
              <w:t xml:space="preserve"> October </w:t>
            </w:r>
            <w:r>
              <w:rPr>
                <w:rFonts w:ascii="Arial" w:eastAsia="Arial" w:hAnsi="Arial" w:cs="Arial"/>
                <w:color w:val="000000"/>
                <w:sz w:val="16"/>
              </w:rPr>
              <w:t>2022. </w:t>
            </w:r>
          </w:p>
        </w:tc>
      </w:tr>
    </w:tbl>
    <w:p w14:paraId="5D651B6C" w14:textId="77777777" w:rsidR="007253AC" w:rsidRDefault="007253AC">
      <w:pPr>
        <w:autoSpaceDE w:val="0"/>
        <w:autoSpaceDN w:val="0"/>
        <w:rPr>
          <w:sz w:val="2"/>
          <w:szCs w:val="2"/>
        </w:rPr>
      </w:pPr>
    </w:p>
    <w:sectPr w:rsidR="007253AC">
      <w:headerReference w:type="default" r:id="rId10"/>
      <w:footerReference w:type="default" r:id="rId11"/>
      <w:footnotePr>
        <w:numRestart w:val="eachSect"/>
      </w:footnotePr>
      <w:pgSz w:w="11905" w:h="16837"/>
      <w:pgMar w:top="566" w:right="793" w:bottom="0" w:left="566"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4386" w14:textId="77777777" w:rsidR="0051380A" w:rsidRDefault="00240C9A">
      <w:r>
        <w:separator/>
      </w:r>
    </w:p>
  </w:endnote>
  <w:endnote w:type="continuationSeparator" w:id="0">
    <w:p w14:paraId="2AA2186F" w14:textId="77777777" w:rsidR="0051380A" w:rsidRDefault="0024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AC" w14:textId="77777777" w:rsidR="007253AC" w:rsidRDefault="007253AC">
    <w:pPr>
      <w:keepNext/>
      <w:autoSpaceDE w:val="0"/>
      <w:autoSpaceDN w:val="0"/>
      <w:rPr>
        <w:vanish/>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A19E" w14:textId="77777777" w:rsidR="007253AC" w:rsidRDefault="007253AC">
    <w:pPr>
      <w:keepNext/>
      <w:autoSpaceDE w:val="0"/>
      <w:autoSpaceDN w:val="0"/>
      <w:rPr>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3392" w14:textId="77777777" w:rsidR="007253AC" w:rsidRDefault="007253AC">
      <w:pPr>
        <w:pStyle w:val="Footer"/>
        <w:autoSpaceDE w:val="0"/>
        <w:autoSpaceDN w:val="0"/>
      </w:pPr>
    </w:p>
  </w:footnote>
  <w:footnote w:type="continuationSeparator" w:id="0">
    <w:p w14:paraId="4409792E" w14:textId="77777777" w:rsidR="007253AC" w:rsidRDefault="00240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F15A" w14:textId="77777777" w:rsidR="007253AC" w:rsidRDefault="007253AC">
    <w:pPr>
      <w:keepNext/>
      <w:autoSpaceDE w:val="0"/>
      <w:autoSpaceDN w:val="0"/>
      <w:rPr>
        <w:vanish/>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E6C6" w14:textId="77777777" w:rsidR="007253AC" w:rsidRDefault="007253AC">
    <w:pPr>
      <w:keepNext/>
      <w:autoSpaceDE w:val="0"/>
      <w:autoSpaceDN w:val="0"/>
      <w:rPr>
        <w:vanish/>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553"/>
    <w:multiLevelType w:val="multilevel"/>
    <w:tmpl w:val="7390B602"/>
    <w:lvl w:ilvl="0">
      <w:start w:val="1"/>
      <w:numFmt w:val="bullet"/>
      <w:lvlText w:val="·"/>
      <w:lvlJc w:val="left"/>
      <w:pPr>
        <w:ind w:left="357" w:hanging="357"/>
      </w:pPr>
      <w:rPr>
        <w:rFonts w:ascii="Symbol" w:eastAsia="Symbol" w:hAnsi="Symbol" w:cs="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57681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enableOpenTypeFeatures" w:uri="http://schemas.microsoft.com/office/word" w:val="1"/>
    <w:compatSetting w:name="useWord2013TrackBottomHyphenation" w:uri="http://schemas.microsoft.com/office/word" w:val="1"/>
  </w:compat>
  <w:rsids>
    <w:rsidRoot w:val="007253AC"/>
    <w:rsid w:val="00240C9A"/>
    <w:rsid w:val="0051380A"/>
    <w:rsid w:val="007253AC"/>
    <w:rsid w:val="0077541E"/>
    <w:rsid w:val="00B85FC5"/>
    <w:rsid w:val="00BB46E6"/>
    <w:rsid w:val="00C749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D054"/>
  <w15:docId w15:val="{535C5193-2368-4D81-8430-29AA1616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C7494C"/>
    <w:pPr>
      <w:spacing w:after="0" w:line="240" w:lineRule="auto"/>
    </w:pPr>
  </w:style>
  <w:style w:type="paragraph" w:customStyle="1" w:styleId="DENormal">
    <w:name w:val="DE Normal"/>
    <w:link w:val="DENormalChar"/>
    <w:qFormat/>
    <w:rsid w:val="00C7494C"/>
    <w:pPr>
      <w:spacing w:after="240" w:line="288" w:lineRule="auto"/>
      <w:jc w:val="both"/>
    </w:pPr>
    <w:rPr>
      <w:rFonts w:ascii="Arial" w:eastAsiaTheme="minorHAnsi" w:hAnsi="Arial"/>
      <w:sz w:val="20"/>
      <w:lang w:val="en-GB" w:eastAsia="en-US"/>
    </w:rPr>
  </w:style>
  <w:style w:type="character" w:customStyle="1" w:styleId="DENormalChar">
    <w:name w:val="DE Normal Char"/>
    <w:basedOn w:val="DefaultParagraphFont"/>
    <w:link w:val="DENormal"/>
    <w:rsid w:val="00C7494C"/>
    <w:rPr>
      <w:rFonts w:ascii="Arial" w:eastAsiaTheme="minorHAnsi" w:hAnsi="Arial"/>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1552</Words>
  <Characters>8849</Characters>
  <Application>Microsoft Office Word</Application>
  <DocSecurity>0</DocSecurity>
  <Lines>73</Lines>
  <Paragraphs>20</Paragraphs>
  <ScaleCrop>false</ScaleCrop>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Lally</dc:creator>
  <cp:lastModifiedBy>Emma Lally</cp:lastModifiedBy>
  <cp:revision>5</cp:revision>
  <dcterms:created xsi:type="dcterms:W3CDTF">2022-10-26T11:26:00Z</dcterms:created>
  <dcterms:modified xsi:type="dcterms:W3CDTF">2022-10-28T13:29:00Z</dcterms:modified>
</cp:coreProperties>
</file>