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097A82"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41361A21" w14:textId="77777777" w:rsidR="00C45C92" w:rsidRDefault="00097A82">
      <w:pPr>
        <w:spacing w:before="116" w:line="276" w:lineRule="auto"/>
        <w:ind w:left="156" w:right="338"/>
        <w:rPr>
          <w:b/>
          <w:sz w:val="16"/>
        </w:rPr>
      </w:pPr>
      <w:r>
        <w:pict w14:anchorId="0057A785">
          <v:group id="_x0000_s1056" style="position:absolute;left:0;text-align:left;margin-left:20.65pt;margin-top:39.95pt;width:551.2pt;height:62.1pt;z-index:-251655168;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58" type="#_x0000_t202" style="position:absolute;left:412;top:1485;width:11024;height:622" fillcolor="#d9d9d9" stroked="f">
              <v:textbox style="mso-next-textbox:#_x0000_s1058" inset="0,0,0,0">
                <w:txbxContent>
                  <w:p w14:paraId="47603805" w14:textId="3412A32C" w:rsidR="00C45C92" w:rsidRDefault="002E0477">
                    <w:pPr>
                      <w:spacing w:before="97"/>
                      <w:ind w:left="23"/>
                      <w:rPr>
                        <w:b/>
                        <w:sz w:val="16"/>
                      </w:rPr>
                    </w:pPr>
                    <w:r w:rsidRPr="002E0477">
                      <w:rPr>
                        <w:b/>
                        <w:sz w:val="16"/>
                      </w:rPr>
                      <w:t xml:space="preserve">Share Class: </w:t>
                    </w:r>
                    <w:r w:rsidR="002D50F3">
                      <w:rPr>
                        <w:b/>
                        <w:sz w:val="16"/>
                      </w:rPr>
                      <w:t>C</w:t>
                    </w:r>
                  </w:p>
                  <w:p w14:paraId="5151FC12" w14:textId="77777777" w:rsidR="00C45C92" w:rsidRDefault="002C3844">
                    <w:pPr>
                      <w:spacing w:before="125"/>
                      <w:ind w:left="23"/>
                      <w:rPr>
                        <w:b/>
                        <w:sz w:val="16"/>
                      </w:rPr>
                    </w:pPr>
                    <w:r>
                      <w:rPr>
                        <w:b/>
                        <w:sz w:val="16"/>
                      </w:rPr>
                      <w:t>This Fund is managed by Prescient Fund Services (Ireland) Limited</w:t>
                    </w:r>
                  </w:p>
                </w:txbxContent>
              </v:textbox>
            </v:shape>
            <v:shape id="_x0000_s1057" type="#_x0000_t202" style="position:absolute;left:412;top:798;width:11024;height:687" fillcolor="#bfbfbf" stroked="f">
              <v:textbox style="mso-next-textbox:#_x0000_s1057" inset="0,0,0,0">
                <w:txbxContent>
                  <w:p w14:paraId="2327D096" w14:textId="2CE3C430" w:rsidR="00C45C92" w:rsidRDefault="002C3844">
                    <w:pPr>
                      <w:spacing w:before="32"/>
                      <w:ind w:left="36"/>
                      <w:rPr>
                        <w:b/>
                        <w:sz w:val="25"/>
                      </w:rPr>
                    </w:pPr>
                    <w:bookmarkStart w:id="0" w:name="_Hlk43229383"/>
                    <w:bookmarkStart w:id="1" w:name="_Hlk43229384"/>
                    <w:r>
                      <w:rPr>
                        <w:b/>
                        <w:sz w:val="25"/>
                      </w:rPr>
                      <w:t>Osmosis Resource Efficien</w:t>
                    </w:r>
                    <w:r w:rsidR="00A70DBB">
                      <w:rPr>
                        <w:b/>
                        <w:sz w:val="25"/>
                      </w:rPr>
                      <w:t>t</w:t>
                    </w:r>
                    <w:r>
                      <w:rPr>
                        <w:b/>
                        <w:sz w:val="25"/>
                      </w:rPr>
                      <w:t xml:space="preserve"> </w:t>
                    </w:r>
                    <w:r w:rsidR="00A70DBB">
                      <w:rPr>
                        <w:b/>
                        <w:sz w:val="25"/>
                      </w:rPr>
                      <w:t xml:space="preserve">Equity Market Neutral </w:t>
                    </w:r>
                    <w:r>
                      <w:rPr>
                        <w:b/>
                        <w:sz w:val="25"/>
                      </w:rPr>
                      <w:t>Fund (the "Fund")</w:t>
                    </w:r>
                  </w:p>
                  <w:p w14:paraId="4979C011" w14:textId="597AB609" w:rsidR="00C45C92" w:rsidRDefault="002C3844">
                    <w:pPr>
                      <w:spacing w:before="58"/>
                      <w:ind w:left="23"/>
                      <w:rPr>
                        <w:b/>
                        <w:sz w:val="16"/>
                      </w:rPr>
                    </w:pPr>
                    <w:r>
                      <w:rPr>
                        <w:b/>
                        <w:sz w:val="16"/>
                      </w:rPr>
                      <w:t xml:space="preserve">a sub-Fund of </w:t>
                    </w:r>
                    <w:r w:rsidR="0026198B">
                      <w:rPr>
                        <w:b/>
                        <w:sz w:val="16"/>
                      </w:rPr>
                      <w:t>OSMOSIS</w:t>
                    </w:r>
                    <w:r>
                      <w:rPr>
                        <w:b/>
                        <w:sz w:val="16"/>
                      </w:rPr>
                      <w:t xml:space="preserve">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097A82">
      <w:pPr>
        <w:pStyle w:val="BodyText"/>
        <w:ind w:left="115"/>
        <w:rPr>
          <w:sz w:val="20"/>
        </w:rPr>
      </w:pPr>
      <w:r>
        <w:rPr>
          <w:sz w:val="20"/>
        </w:rPr>
      </w:r>
      <w:r>
        <w:rPr>
          <w:sz w:val="20"/>
        </w:rPr>
        <w:pict w14:anchorId="613FA278">
          <v:shape id="_x0000_s1068"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26B31DC9" w14:textId="2119833F" w:rsidR="00C45C92" w:rsidRDefault="002C3844">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p>
    <w:p w14:paraId="6ACCBA3C" w14:textId="77777777" w:rsidR="00896A48" w:rsidRPr="00FD5C4B" w:rsidRDefault="00896A48">
      <w:pPr>
        <w:pStyle w:val="BodyText"/>
        <w:spacing w:line="276" w:lineRule="auto"/>
        <w:ind w:left="154" w:right="40"/>
        <w:jc w:val="both"/>
        <w:rPr>
          <w:w w:val="105"/>
          <w:sz w:val="15"/>
          <w:szCs w:val="15"/>
        </w:rPr>
      </w:pPr>
    </w:p>
    <w:bookmarkEnd w:id="2"/>
    <w:p w14:paraId="73F309B0" w14:textId="7CF8CCBB" w:rsidR="002C3844" w:rsidRPr="00FD5C4B" w:rsidRDefault="002C3844">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30BA21C8" w14:textId="77777777" w:rsidR="00C45C92" w:rsidRPr="00FD5C4B" w:rsidRDefault="002C3844">
      <w:pPr>
        <w:pStyle w:val="BodyText"/>
        <w:spacing w:line="276" w:lineRule="auto"/>
        <w:ind w:left="154" w:right="137"/>
        <w:jc w:val="both"/>
        <w:rPr>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p>
    <w:p w14:paraId="6FAEB139" w14:textId="77777777" w:rsidR="00C45C92" w:rsidRPr="00FD5C4B" w:rsidRDefault="00C45C92">
      <w:pPr>
        <w:pStyle w:val="BodyText"/>
        <w:rPr>
          <w:sz w:val="15"/>
          <w:szCs w:val="15"/>
        </w:rPr>
      </w:pPr>
    </w:p>
    <w:p w14:paraId="1BD1C10F" w14:textId="1A3805AD" w:rsidR="00C45C92" w:rsidRPr="000B4F8F" w:rsidRDefault="002C3844">
      <w:pPr>
        <w:pStyle w:val="BodyText"/>
        <w:spacing w:line="276" w:lineRule="auto"/>
        <w:ind w:left="154" w:right="134"/>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097A82" w:rsidP="002C3844">
      <w:pPr>
        <w:pStyle w:val="BodyText"/>
        <w:rPr>
          <w:sz w:val="20"/>
        </w:rPr>
      </w:pPr>
      <w:r>
        <w:rPr>
          <w:sz w:val="20"/>
        </w:rPr>
      </w:r>
      <w:r>
        <w:rPr>
          <w:sz w:val="20"/>
        </w:rPr>
        <w:pict w14:anchorId="4F4C6351">
          <v:shape id="_x0000_s1067"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7"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097A82">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274A9206" w14:textId="77777777" w:rsidR="00C45C92" w:rsidRPr="00D336EC" w:rsidRDefault="00C45C92">
      <w:pPr>
        <w:pStyle w:val="BodyText"/>
        <w:rPr>
          <w:sz w:val="15"/>
          <w:szCs w:val="15"/>
        </w:rPr>
      </w:pP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Liquidity Risk - the risk stemming from the lack of marketability of an investment that cannot be bought or sold quickly enough to prevent or minimise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1A291D00" w14:textId="1A328419" w:rsidR="002508D4" w:rsidRPr="00FD5C4B" w:rsidRDefault="002508D4" w:rsidP="002508D4">
      <w:pPr>
        <w:pStyle w:val="ListParagraph"/>
        <w:numPr>
          <w:ilvl w:val="0"/>
          <w:numId w:val="1"/>
        </w:numPr>
        <w:tabs>
          <w:tab w:val="left" w:pos="260"/>
        </w:tabs>
        <w:spacing w:line="276" w:lineRule="auto"/>
        <w:ind w:right="135"/>
        <w:rPr>
          <w:sz w:val="15"/>
          <w:szCs w:val="15"/>
        </w:rPr>
      </w:pPr>
      <w:r w:rsidRPr="00D336EC">
        <w:rPr>
          <w:w w:val="105"/>
          <w:sz w:val="15"/>
          <w:szCs w:val="15"/>
        </w:rPr>
        <w:t>Leverage Risk - the use of Leverage may significantly increa</w:t>
      </w:r>
      <w:r>
        <w:rPr>
          <w:w w:val="105"/>
          <w:sz w:val="15"/>
          <w:szCs w:val="15"/>
        </w:rPr>
        <w:t>se the Fund's investment risk</w:t>
      </w:r>
      <w:r w:rsidRPr="00D336EC">
        <w:rPr>
          <w:w w:val="105"/>
          <w:sz w:val="15"/>
          <w:szCs w:val="15"/>
        </w:rPr>
        <w:t xml:space="preserve"> including (i) greater losses from investments than would otherwise have been the case had the strategy not applied leverage, (ii) margin calls or interim margin requirements which may force premature</w:t>
      </w:r>
      <w:r>
        <w:rPr>
          <w:w w:val="105"/>
          <w:sz w:val="15"/>
          <w:szCs w:val="15"/>
        </w:rPr>
        <w:t xml:space="preserve"> </w:t>
      </w:r>
      <w:r w:rsidRPr="00273D01">
        <w:rPr>
          <w:w w:val="105"/>
          <w:sz w:val="15"/>
          <w:szCs w:val="15"/>
        </w:rPr>
        <w:t>liquidations of investment positions and (iii) the lack of ability to liquidate assets quickly enough to repay its obligations</w:t>
      </w:r>
      <w:r>
        <w:rPr>
          <w:w w:val="105"/>
          <w:sz w:val="15"/>
          <w:szCs w:val="15"/>
        </w:rPr>
        <w:t>.</w:t>
      </w:r>
    </w:p>
    <w:p w14:paraId="3387EDF2" w14:textId="532471AF" w:rsidR="00C45C92" w:rsidRPr="00D336EC" w:rsidRDefault="00C45C92">
      <w:pPr>
        <w:pStyle w:val="BodyText"/>
        <w:spacing w:before="10"/>
        <w:rPr>
          <w:sz w:val="15"/>
          <w:szCs w:val="15"/>
        </w:rPr>
      </w:pPr>
    </w:p>
    <w:p w14:paraId="627996F6" w14:textId="7AA45257" w:rsidR="00D336EC" w:rsidRDefault="002C3844" w:rsidP="00D336EC">
      <w:pPr>
        <w:pStyle w:val="BodyText"/>
        <w:spacing w:line="276" w:lineRule="auto"/>
        <w:ind w:left="154" w:right="93"/>
        <w:rPr>
          <w:w w:val="105"/>
          <w:sz w:val="15"/>
          <w:szCs w:val="15"/>
        </w:rPr>
      </w:pPr>
      <w:r w:rsidRPr="00D336EC">
        <w:rPr>
          <w:w w:val="105"/>
          <w:sz w:val="15"/>
          <w:szCs w:val="15"/>
        </w:rPr>
        <w:t>Please refer to the “Risk Factors” section of the Prospectus for further</w:t>
      </w:r>
      <w:r w:rsidR="00D336EC">
        <w:rPr>
          <w:w w:val="105"/>
          <w:sz w:val="15"/>
          <w:szCs w:val="15"/>
        </w:rPr>
        <w:t xml:space="preserve"> </w:t>
      </w:r>
      <w:r w:rsidR="00D336EC">
        <w:rPr>
          <w:w w:val="105"/>
          <w:sz w:val="15"/>
          <w:szCs w:val="15"/>
        </w:rPr>
        <w:lastRenderedPageBreak/>
        <w:t>information – see under ‘Practical Information’’ for how to obtain a copy.</w:t>
      </w:r>
    </w:p>
    <w:p w14:paraId="00C0279F" w14:textId="0CF7D6A9" w:rsidR="00C45C92" w:rsidRPr="00D336EC" w:rsidRDefault="002C3844" w:rsidP="00D336EC">
      <w:pPr>
        <w:pStyle w:val="BodyText"/>
        <w:spacing w:line="276" w:lineRule="auto"/>
        <w:ind w:right="93"/>
        <w:rPr>
          <w:w w:val="105"/>
          <w:sz w:val="15"/>
          <w:szCs w:val="15"/>
        </w:rPr>
      </w:pPr>
      <w:r w:rsidRPr="00D336EC">
        <w:rPr>
          <w:w w:val="105"/>
          <w:sz w:val="15"/>
          <w:szCs w:val="15"/>
        </w:rPr>
        <w:t>.</w:t>
      </w: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097A82">
      <w:pPr>
        <w:pStyle w:val="BodyText"/>
        <w:rPr>
          <w:sz w:val="20"/>
        </w:rPr>
      </w:pPr>
      <w:r>
        <w:rPr>
          <w:sz w:val="20"/>
        </w:rPr>
      </w:r>
      <w:r>
        <w:rPr>
          <w:sz w:val="20"/>
        </w:rPr>
        <w:pict w14:anchorId="214AF41A">
          <v:shape id="_x0000_s1066"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595D67E1" w:rsidR="002C3844" w:rsidRPr="00D336EC" w:rsidRDefault="002C3844" w:rsidP="002C3844">
      <w:pPr>
        <w:pStyle w:val="BodyText"/>
        <w:spacing w:before="94" w:line="276" w:lineRule="auto"/>
        <w:ind w:right="338"/>
        <w:rPr>
          <w:sz w:val="15"/>
          <w:szCs w:val="15"/>
        </w:rPr>
      </w:pPr>
      <w:bookmarkStart w:id="4" w:name="_Hlk32586049"/>
      <w:r w:rsidRPr="00D336EC">
        <w:rPr>
          <w:w w:val="105"/>
          <w:sz w:val="15"/>
          <w:szCs w:val="15"/>
        </w:rPr>
        <w:t>These charges are used to pay the costs of running the Fund, including the costs of marketing and distribution. These charges reduce the potential growth of your investment.</w:t>
      </w:r>
    </w:p>
    <w:p w14:paraId="4D7C5E5A" w14:textId="0E9FA7E8" w:rsidR="002C3844" w:rsidRPr="00D336EC" w:rsidRDefault="00097A82" w:rsidP="002C3844">
      <w:pPr>
        <w:spacing w:before="8"/>
        <w:rPr>
          <w:sz w:val="15"/>
          <w:szCs w:val="15"/>
        </w:rPr>
      </w:pPr>
      <w:r>
        <w:rPr>
          <w:sz w:val="15"/>
          <w:szCs w:val="15"/>
        </w:rPr>
        <w:pict w14:anchorId="15347E30">
          <v:shape id="_x0000_s1065" type="#_x0000_t202" style="position:absolute;margin-left:19.8pt;margin-top:6.2pt;width:384.2pt;height:198.4pt;z-index:251683840;mso-position-horizontal-relative:page" filled="f" stroked="f">
            <v:textbox style="mso-next-textbox:#_x0000_s106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2C3844" w14:paraId="4D2772E2" w14:textId="77777777">
                    <w:trPr>
                      <w:trHeight w:val="1688"/>
                    </w:trPr>
                    <w:tc>
                      <w:tcPr>
                        <w:tcW w:w="5242"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trPr>
                      <w:trHeight w:val="767"/>
                    </w:trPr>
                    <w:tc>
                      <w:tcPr>
                        <w:tcW w:w="5242"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6851DC70"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1.</w:t>
                        </w:r>
                        <w:r w:rsidR="002D50F3">
                          <w:rPr>
                            <w:sz w:val="16"/>
                          </w:rPr>
                          <w:t>46</w:t>
                        </w:r>
                        <w:r>
                          <w:rPr>
                            <w:sz w:val="16"/>
                          </w:rPr>
                          <w:t>%</w:t>
                        </w:r>
                      </w:p>
                    </w:tc>
                  </w:tr>
                  <w:tr w:rsidR="002C3844" w14:paraId="07C18EDC" w14:textId="77777777">
                    <w:trPr>
                      <w:trHeight w:val="1028"/>
                    </w:trPr>
                    <w:tc>
                      <w:tcPr>
                        <w:tcW w:w="5242"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2CF9CF05"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sidR="00186264">
                          <w:rPr>
                            <w:sz w:val="16"/>
                          </w:rPr>
                          <w:t xml:space="preserve">:              </w:t>
                        </w:r>
                        <w:r w:rsidR="00186264" w:rsidRPr="00186264">
                          <w:rPr>
                            <w:sz w:val="16"/>
                          </w:rPr>
                          <w:t>15% of performance over high watermark</w:t>
                        </w:r>
                      </w:p>
                    </w:tc>
                  </w:tr>
                </w:tbl>
                <w:p w14:paraId="279245BF" w14:textId="77777777" w:rsidR="002C3844" w:rsidRDefault="002C3844" w:rsidP="002C3844">
                  <w:pPr>
                    <w:pStyle w:val="BodyText"/>
                  </w:pPr>
                </w:p>
              </w:txbxContent>
            </v:textbox>
            <w10:wrap anchorx="page"/>
          </v:shape>
        </w:pict>
      </w:r>
    </w:p>
    <w:p w14:paraId="373C8860" w14:textId="7A057438"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77777777"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1D1B8390" w14:textId="488AA871" w:rsidR="002E0477" w:rsidRDefault="002D50F3" w:rsidP="002C3844">
      <w:pPr>
        <w:spacing w:line="276" w:lineRule="auto"/>
        <w:ind w:left="5943" w:right="132"/>
        <w:jc w:val="both"/>
        <w:rPr>
          <w:w w:val="105"/>
          <w:sz w:val="15"/>
          <w:szCs w:val="15"/>
        </w:rPr>
      </w:pPr>
      <w:r w:rsidRPr="002D50F3">
        <w:rPr>
          <w:w w:val="105"/>
          <w:sz w:val="15"/>
          <w:szCs w:val="15"/>
        </w:rPr>
        <w:t>The ongoing charges figure is an estimate of charges for the first 12 months of operation of the Fund. The annual report in respect of the Fund for each financial year will include details on the exact charges made. This figure may vary from year to year. It excludes performance fees (if any) and portfolio transaction costs, except in the case of an entry or exit charge paid by the UCITS when buying or selling units in another UCITS or collective investment undertaking.</w:t>
      </w:r>
    </w:p>
    <w:p w14:paraId="758DB0A3" w14:textId="77777777" w:rsidR="002E0477" w:rsidRDefault="002E0477" w:rsidP="002C3844">
      <w:pPr>
        <w:spacing w:line="276" w:lineRule="auto"/>
        <w:ind w:left="5943" w:right="132"/>
        <w:jc w:val="both"/>
        <w:rPr>
          <w:w w:val="105"/>
          <w:sz w:val="15"/>
          <w:szCs w:val="15"/>
        </w:rPr>
      </w:pPr>
    </w:p>
    <w:p w14:paraId="53B605D9" w14:textId="14F19889" w:rsidR="002C3844" w:rsidRPr="00D336EC" w:rsidRDefault="002C3844" w:rsidP="002C3844">
      <w:pPr>
        <w:spacing w:line="276" w:lineRule="auto"/>
        <w:ind w:left="5943" w:right="132"/>
        <w:jc w:val="both"/>
        <w:rPr>
          <w:sz w:val="15"/>
          <w:szCs w:val="15"/>
        </w:rPr>
      </w:pPr>
      <w:r w:rsidRPr="00D336EC">
        <w:rPr>
          <w:w w:val="105"/>
          <w:sz w:val="15"/>
          <w:szCs w:val="15"/>
        </w:rPr>
        <w:t>.</w:t>
      </w:r>
    </w:p>
    <w:p w14:paraId="090B3E10" w14:textId="5974A7C5" w:rsidR="002C3844" w:rsidRPr="00D336EC" w:rsidRDefault="002C3844" w:rsidP="002C3844">
      <w:pPr>
        <w:rPr>
          <w:sz w:val="15"/>
          <w:szCs w:val="15"/>
        </w:rPr>
      </w:pPr>
    </w:p>
    <w:p w14:paraId="0F589254" w14:textId="7908FD62" w:rsidR="002C3844" w:rsidRPr="00D336EC" w:rsidRDefault="002C3844" w:rsidP="002C3844">
      <w:pPr>
        <w:rPr>
          <w:sz w:val="15"/>
          <w:szCs w:val="15"/>
        </w:rPr>
      </w:pPr>
    </w:p>
    <w:p w14:paraId="66C5F4F7" w14:textId="77777777" w:rsidR="002C3844" w:rsidRPr="00D336EC" w:rsidRDefault="002C3844" w:rsidP="002C3844">
      <w:pPr>
        <w:rPr>
          <w:sz w:val="15"/>
          <w:szCs w:val="15"/>
        </w:rPr>
      </w:pPr>
    </w:p>
    <w:p w14:paraId="62B8A79F" w14:textId="6AC169A7" w:rsidR="00C45C92" w:rsidRPr="00AE5035" w:rsidRDefault="00097A82" w:rsidP="00AE5035">
      <w:pPr>
        <w:spacing w:line="276" w:lineRule="auto"/>
        <w:ind w:left="154" w:right="105"/>
        <w:rPr>
          <w:sz w:val="14"/>
          <w:szCs w:val="14"/>
        </w:rPr>
      </w:pPr>
      <w:r>
        <w:rPr>
          <w:sz w:val="14"/>
          <w:szCs w:val="14"/>
        </w:rPr>
        <w:pict w14:anchorId="7ADFECC2">
          <v:shape id="_x0000_s1047" type="#_x0000_t202" style="position:absolute;left:0;text-align:left;margin-left:25.1pt;margin-top:20.6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r w:rsidR="002C3844" w:rsidRPr="00D336EC">
        <w:rPr>
          <w:w w:val="105"/>
          <w:sz w:val="15"/>
          <w:szCs w:val="15"/>
        </w:rPr>
        <w:t>You can find more details about the charges, including the application of an anti-dilution levy, in the section of the ICAV’s Prospectus and the Fund's Supplement entitled</w:t>
      </w:r>
      <w:r w:rsidR="002C3844" w:rsidRPr="002C3844">
        <w:rPr>
          <w:w w:val="105"/>
          <w:sz w:val="14"/>
          <w:szCs w:val="14"/>
        </w:rPr>
        <w:t xml:space="preserve"> "Fee</w:t>
      </w:r>
      <w:bookmarkEnd w:id="4"/>
      <w:r w:rsidR="00AE5035">
        <w:rPr>
          <w:w w:val="105"/>
          <w:sz w:val="14"/>
          <w:szCs w:val="14"/>
        </w:rPr>
        <w:t xml:space="preserve"> and Charges’’</w:t>
      </w:r>
    </w:p>
    <w:p w14:paraId="472C768F" w14:textId="671E2B17" w:rsidR="00AE5035" w:rsidRPr="000B4F8F" w:rsidRDefault="00AE5035" w:rsidP="002E0477">
      <w:pPr>
        <w:pStyle w:val="BodyText"/>
        <w:rPr>
          <w:sz w:val="15"/>
          <w:szCs w:val="15"/>
        </w:rPr>
      </w:pPr>
      <w:r w:rsidRPr="000B4F8F">
        <w:rPr>
          <w:b/>
          <w:bCs/>
          <w:sz w:val="15"/>
          <w:szCs w:val="15"/>
        </w:rPr>
        <w:tab/>
      </w:r>
      <w:r w:rsidRPr="000B4F8F">
        <w:rPr>
          <w:b/>
          <w:bCs/>
          <w:sz w:val="15"/>
          <w:szCs w:val="15"/>
        </w:rPr>
        <w:tab/>
        <w:t xml:space="preserve"> </w:t>
      </w:r>
      <w:r w:rsidRPr="000B4F8F">
        <w:rPr>
          <w:b/>
          <w:bCs/>
          <w:sz w:val="15"/>
          <w:szCs w:val="15"/>
        </w:rPr>
        <w:tab/>
      </w:r>
    </w:p>
    <w:p w14:paraId="10E123BB" w14:textId="76547D11" w:rsidR="00AE5035" w:rsidRDefault="002E0477" w:rsidP="00987E9D">
      <w:pPr>
        <w:pStyle w:val="BodyText"/>
        <w:spacing w:before="9"/>
        <w:ind w:left="154"/>
        <w:rPr>
          <w:b/>
          <w:bCs/>
          <w:sz w:val="16"/>
          <w:szCs w:val="10"/>
        </w:rPr>
      </w:pPr>
      <w:r>
        <w:rPr>
          <w:b/>
          <w:bCs/>
          <w:sz w:val="16"/>
          <w:szCs w:val="10"/>
        </w:rPr>
        <w:t xml:space="preserve">There </w:t>
      </w:r>
      <w:r w:rsidRPr="002E0477">
        <w:rPr>
          <w:b/>
          <w:bCs/>
          <w:sz w:val="16"/>
          <w:szCs w:val="10"/>
        </w:rPr>
        <w:t>is insufficient data to provide a useful indication of past performance</w:t>
      </w:r>
    </w:p>
    <w:p w14:paraId="4B3E379F" w14:textId="58390056" w:rsidR="00C45C92" w:rsidRPr="00D336EC" w:rsidRDefault="00097A82">
      <w:pPr>
        <w:pStyle w:val="BodyText"/>
        <w:spacing w:before="1"/>
        <w:rPr>
          <w:sz w:val="15"/>
          <w:szCs w:val="15"/>
        </w:rPr>
      </w:pPr>
      <w:r>
        <w:pict w14:anchorId="25263F89">
          <v:shape id="_x0000_s1026" type="#_x0000_t202" style="position:absolute;margin-left:21.55pt;margin-top:12.4pt;width:551.55pt;height:13pt;z-index:-251648000;mso-wrap-distance-left:0;mso-wrap-distance-right:0;mso-position-horizontal-relative:page" fillcolor="#bfbfbf" strokeweight=".84pt">
            <v:textbox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2CE8BC75" w14:textId="77777777" w:rsidR="00C45C92" w:rsidRPr="00D336EC" w:rsidRDefault="00C45C92">
      <w:pPr>
        <w:rPr>
          <w:sz w:val="15"/>
          <w:szCs w:val="15"/>
        </w:rPr>
        <w:sectPr w:rsidR="00C45C92" w:rsidRPr="00D336EC" w:rsidSect="002C3844">
          <w:type w:val="continuous"/>
          <w:pgSz w:w="11910" w:h="16840"/>
          <w:pgMar w:top="340" w:right="360" w:bottom="280" w:left="280" w:header="720" w:footer="720" w:gutter="0"/>
          <w:cols w:space="720"/>
        </w:sectPr>
      </w:pPr>
    </w:p>
    <w:p w14:paraId="47E60AFF" w14:textId="5F40AA15" w:rsidR="00987E9D" w:rsidRPr="00987E9D" w:rsidRDefault="002C3844" w:rsidP="00987E9D">
      <w:pPr>
        <w:spacing w:before="64"/>
        <w:ind w:left="154"/>
        <w:jc w:val="both"/>
        <w:rPr>
          <w:w w:val="105"/>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50C43CD0" w14:textId="695CEC56"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the “Manager” at </w:t>
      </w:r>
      <w:r w:rsidR="00987E9D">
        <w:rPr>
          <w:w w:val="105"/>
          <w:sz w:val="15"/>
          <w:szCs w:val="15"/>
        </w:rPr>
        <w:t>35 Merrion Square East</w:t>
      </w:r>
      <w:r w:rsidRPr="00D336EC">
        <w:rPr>
          <w:w w:val="105"/>
          <w:sz w:val="15"/>
          <w:szCs w:val="15"/>
        </w:rPr>
        <w:t>, Dublin 2, Ireland or by visiting</w:t>
      </w:r>
      <w:r w:rsidRPr="00D336EC">
        <w:rPr>
          <w:spacing w:val="-23"/>
          <w:w w:val="105"/>
          <w:sz w:val="15"/>
          <w:szCs w:val="15"/>
        </w:rPr>
        <w:t xml:space="preserve"> </w:t>
      </w:r>
      <w:hyperlink r:id="rId9">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28F89A03"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USD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0">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7BBD47DC" w14:textId="4EC9D27A" w:rsidR="00C45C92" w:rsidRPr="00931F61" w:rsidRDefault="0026198B" w:rsidP="00987E9D">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r w:rsidR="002C3844" w:rsidRPr="00931F61">
        <w:rPr>
          <w:w w:val="105"/>
          <w:sz w:val="15"/>
          <w:szCs w:val="15"/>
        </w:rPr>
        <w:t>ICAV.</w:t>
      </w:r>
      <w:r w:rsidR="00987E9D">
        <w:rPr>
          <w:w w:val="105"/>
          <w:sz w:val="15"/>
          <w:szCs w:val="15"/>
        </w:rPr>
        <w:t xml:space="preserve"> </w:t>
      </w:r>
      <w:r w:rsidR="002C3844" w:rsidRPr="00931F61">
        <w:rPr>
          <w:w w:val="105"/>
          <w:sz w:val="15"/>
          <w:szCs w:val="15"/>
        </w:rPr>
        <w:t xml:space="preserve">The assets and liabilities of each sub-Fund of </w:t>
      </w:r>
      <w:r w:rsidR="00A70DBB" w:rsidRPr="00931F61">
        <w:rPr>
          <w:w w:val="105"/>
          <w:sz w:val="15"/>
          <w:szCs w:val="15"/>
        </w:rPr>
        <w:t>Osmosis</w:t>
      </w:r>
      <w:r w:rsidR="002C3844"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002C3844"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002C3844"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5AB7CA36" w:rsidR="00C45C92" w:rsidRPr="00987E9D"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authorised with effect from 7 April 2017 pursuant to the UCITS Regulations. Prescient Fund Services (Ireland) Limited was authorised in Ireland on 18 March 2011 and is regulated by the Central Bank of Ireland.</w:t>
      </w:r>
      <w:r w:rsidR="00987E9D">
        <w:rPr>
          <w:w w:val="105"/>
          <w:sz w:val="15"/>
          <w:szCs w:val="15"/>
        </w:rPr>
        <w:t xml:space="preserve"> </w:t>
      </w:r>
      <w:r w:rsidR="002C3844" w:rsidRPr="00931F61">
        <w:rPr>
          <w:w w:val="105"/>
          <w:sz w:val="15"/>
          <w:szCs w:val="15"/>
        </w:rPr>
        <w:t xml:space="preserve">This Key Information Document is accurate as at </w:t>
      </w:r>
      <w:r w:rsidR="00097A82">
        <w:rPr>
          <w:w w:val="105"/>
          <w:sz w:val="15"/>
          <w:szCs w:val="15"/>
        </w:rPr>
        <w:t xml:space="preserve">12 </w:t>
      </w:r>
      <w:r w:rsidR="00987E9D">
        <w:rPr>
          <w:w w:val="105"/>
          <w:sz w:val="15"/>
          <w:szCs w:val="15"/>
        </w:rPr>
        <w:t>February, 2021.</w:t>
      </w:r>
    </w:p>
    <w:sectPr w:rsidR="00C45C92" w:rsidRPr="00987E9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97A82"/>
    <w:rsid w:val="000B4F8F"/>
    <w:rsid w:val="00186264"/>
    <w:rsid w:val="002508D4"/>
    <w:rsid w:val="0026198B"/>
    <w:rsid w:val="002C3844"/>
    <w:rsid w:val="002D50F3"/>
    <w:rsid w:val="002E0477"/>
    <w:rsid w:val="006122B6"/>
    <w:rsid w:val="006C4003"/>
    <w:rsid w:val="006D74D4"/>
    <w:rsid w:val="00747805"/>
    <w:rsid w:val="00896A48"/>
    <w:rsid w:val="00931F61"/>
    <w:rsid w:val="00987E9D"/>
    <w:rsid w:val="00A70DBB"/>
    <w:rsid w:val="00AE5035"/>
    <w:rsid w:val="00B4356C"/>
    <w:rsid w:val="00C45C92"/>
    <w:rsid w:val="00D336EC"/>
    <w:rsid w:val="00E827E8"/>
    <w:rsid w:val="00F35B01"/>
    <w:rsid w:val="00F87F3E"/>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275A5"/>
  <w15:docId w15:val="{ECD00878-B4E8-45CA-8672-9CD9DBDD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5</cp:revision>
  <cp:lastPrinted>2020-02-14T15:17:00Z</cp:lastPrinted>
  <dcterms:created xsi:type="dcterms:W3CDTF">2020-06-25T13:35:00Z</dcterms:created>
  <dcterms:modified xsi:type="dcterms:W3CDTF">2021-02-12T16:44:00Z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