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5DC9A06B" w:rsidR="00F026DD" w:rsidRDefault="00D45D5F">
                              <w:pPr>
                                <w:spacing w:before="97"/>
                                <w:ind w:left="23"/>
                                <w:rPr>
                                  <w:b/>
                                  <w:sz w:val="16"/>
                                </w:rPr>
                              </w:pPr>
                              <w:r>
                                <w:rPr>
                                  <w:b/>
                                  <w:sz w:val="16"/>
                                </w:rPr>
                                <w:t xml:space="preserve">ISIN: </w:t>
                              </w:r>
                              <w:r w:rsidR="00485DF4" w:rsidRPr="00485DF4">
                                <w:rPr>
                                  <w:b/>
                                  <w:sz w:val="16"/>
                                </w:rPr>
                                <w:t>IE000KVUTC41</w:t>
                              </w:r>
                              <w:r w:rsidR="00485DF4">
                                <w:rPr>
                                  <w:b/>
                                  <w:sz w:val="16"/>
                                </w:rPr>
                                <w:t xml:space="preserve"> (AUD)</w:t>
                              </w:r>
                              <w:r w:rsidR="00875752">
                                <w:rPr>
                                  <w:b/>
                                  <w:sz w:val="16"/>
                                </w:rPr>
                                <w:tab/>
                              </w:r>
                              <w:r w:rsidR="004A4BF3">
                                <w:rPr>
                                  <w:b/>
                                  <w:sz w:val="16"/>
                                </w:rPr>
                                <w:t>Share</w:t>
                              </w:r>
                              <w:r w:rsidR="006B26C2">
                                <w:rPr>
                                  <w:b/>
                                  <w:sz w:val="16"/>
                                </w:rPr>
                                <w:t xml:space="preserve"> </w:t>
                              </w:r>
                              <w:r w:rsidR="009536D9" w:rsidRPr="007222DE">
                                <w:rPr>
                                  <w:b/>
                                  <w:sz w:val="16"/>
                                </w:rPr>
                                <w:t xml:space="preserve">Class: </w:t>
                              </w:r>
                              <w:r w:rsidRPr="007222DE">
                                <w:rPr>
                                  <w:b/>
                                  <w:sz w:val="16"/>
                                </w:rPr>
                                <w:t>AFF</w:t>
                              </w:r>
                              <w:r w:rsidR="007222DE" w:rsidRPr="007222DE">
                                <w:rPr>
                                  <w:b/>
                                  <w:sz w:val="16"/>
                                </w:rPr>
                                <w:t xml:space="preserve"> (hedged)</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5DC9A06B" w:rsidR="00F026DD" w:rsidRDefault="00D45D5F">
                        <w:pPr>
                          <w:spacing w:before="97"/>
                          <w:ind w:left="23"/>
                          <w:rPr>
                            <w:b/>
                            <w:sz w:val="16"/>
                          </w:rPr>
                        </w:pPr>
                        <w:r>
                          <w:rPr>
                            <w:b/>
                            <w:sz w:val="16"/>
                          </w:rPr>
                          <w:t xml:space="preserve">ISIN: </w:t>
                        </w:r>
                        <w:r w:rsidR="00485DF4" w:rsidRPr="00485DF4">
                          <w:rPr>
                            <w:b/>
                            <w:sz w:val="16"/>
                          </w:rPr>
                          <w:t>IE000KVUTC41</w:t>
                        </w:r>
                        <w:r w:rsidR="00485DF4">
                          <w:rPr>
                            <w:b/>
                            <w:sz w:val="16"/>
                          </w:rPr>
                          <w:t xml:space="preserve"> (AUD)</w:t>
                        </w:r>
                        <w:r w:rsidR="00875752">
                          <w:rPr>
                            <w:b/>
                            <w:sz w:val="16"/>
                          </w:rPr>
                          <w:tab/>
                        </w:r>
                        <w:r w:rsidR="004A4BF3">
                          <w:rPr>
                            <w:b/>
                            <w:sz w:val="16"/>
                          </w:rPr>
                          <w:t>Share</w:t>
                        </w:r>
                        <w:r w:rsidR="006B26C2">
                          <w:rPr>
                            <w:b/>
                            <w:sz w:val="16"/>
                          </w:rPr>
                          <w:t xml:space="preserve"> </w:t>
                        </w:r>
                        <w:r w:rsidR="009536D9" w:rsidRPr="007222DE">
                          <w:rPr>
                            <w:b/>
                            <w:sz w:val="16"/>
                          </w:rPr>
                          <w:t xml:space="preserve">Class: </w:t>
                        </w:r>
                        <w:r w:rsidRPr="007222DE">
                          <w:rPr>
                            <w:b/>
                            <w:sz w:val="16"/>
                          </w:rPr>
                          <w:t>AFF</w:t>
                        </w:r>
                        <w:r w:rsidR="007222DE" w:rsidRPr="007222DE">
                          <w:rPr>
                            <w:b/>
                            <w:sz w:val="16"/>
                          </w:rPr>
                          <w:t xml:space="preserve"> (hedged)</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The Fund invests in shares of large companies, which may be located in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7222DE" w:rsidRDefault="00560D62">
      <w:pPr>
        <w:pStyle w:val="BodyText"/>
        <w:spacing w:line="266" w:lineRule="auto"/>
        <w:ind w:left="156" w:right="38"/>
        <w:jc w:val="both"/>
      </w:pPr>
      <w:r w:rsidRPr="00C12A4A">
        <w:t>The Investment Manager selects stocks of companies using the Osmosis Model of Resource Efficiency (the “</w:t>
      </w:r>
      <w:r w:rsidRPr="00CF7DD3">
        <w:rPr>
          <w:b/>
        </w:rPr>
        <w:t>MoRE Model</w:t>
      </w:r>
      <w:r w:rsidRPr="00C12A4A">
        <w:t xml:space="preserve">”). The MoRE Model </w:t>
      </w:r>
      <w:r w:rsidRPr="007222DE">
        <w:t>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13B5AF71" w14:textId="77777777" w:rsidR="00F026DD" w:rsidRPr="007222DE" w:rsidRDefault="00F026DD">
      <w:pPr>
        <w:pStyle w:val="BodyText"/>
        <w:spacing w:before="7"/>
        <w:rPr>
          <w:sz w:val="17"/>
        </w:rPr>
      </w:pPr>
    </w:p>
    <w:p w14:paraId="3C184C3B" w14:textId="77777777" w:rsidR="00F026DD" w:rsidRPr="007222DE" w:rsidRDefault="00560D62">
      <w:pPr>
        <w:pStyle w:val="BodyText"/>
        <w:spacing w:line="266" w:lineRule="auto"/>
        <w:ind w:left="156" w:right="39"/>
        <w:jc w:val="both"/>
      </w:pPr>
      <w:r w:rsidRPr="007222DE">
        <w:t>The Fund may also invest up to 10% of its net a</w:t>
      </w:r>
      <w:r w:rsidR="002264E7" w:rsidRPr="007222DE">
        <w:t>s</w:t>
      </w:r>
      <w:r w:rsidRPr="007222DE">
        <w:t>set value in cash equivalents and money market instruments. The Fund may also invest up to 10% of its net asset value in collective investment</w:t>
      </w:r>
      <w:r w:rsidRPr="007222DE">
        <w:rPr>
          <w:spacing w:val="29"/>
        </w:rPr>
        <w:t xml:space="preserve"> </w:t>
      </w:r>
      <w:r w:rsidRPr="007222DE">
        <w:t>schemes.</w:t>
      </w:r>
    </w:p>
    <w:p w14:paraId="0B314688" w14:textId="77777777" w:rsidR="00F026DD" w:rsidRPr="007222DE" w:rsidRDefault="00F026DD">
      <w:pPr>
        <w:pStyle w:val="BodyText"/>
        <w:spacing w:before="8"/>
        <w:rPr>
          <w:sz w:val="17"/>
        </w:rPr>
      </w:pPr>
    </w:p>
    <w:p w14:paraId="7C6B93BD" w14:textId="77777777" w:rsidR="002233E5" w:rsidRPr="007222DE" w:rsidRDefault="00560D62" w:rsidP="002233E5">
      <w:pPr>
        <w:pStyle w:val="BodyText"/>
        <w:spacing w:line="266" w:lineRule="auto"/>
        <w:ind w:left="156" w:right="39"/>
        <w:jc w:val="both"/>
      </w:pPr>
      <w:r w:rsidRPr="007222DE">
        <w:t>The Fund may invest in limited Financial Derivatives ("</w:t>
      </w:r>
      <w:r w:rsidRPr="007222DE">
        <w:rPr>
          <w:b/>
        </w:rPr>
        <w:t>FDIs</w:t>
      </w:r>
      <w:r w:rsidRPr="007222DE">
        <w:t>") for investment purposes and efficient portfolio management, including for hedging purposes.</w:t>
      </w:r>
      <w:r w:rsidR="002233E5" w:rsidRPr="007222DE">
        <w:t xml:space="preserve"> </w:t>
      </w:r>
    </w:p>
    <w:p w14:paraId="460FACAD" w14:textId="77777777" w:rsidR="002233E5" w:rsidRPr="007222DE" w:rsidRDefault="002233E5" w:rsidP="002233E5">
      <w:pPr>
        <w:pStyle w:val="BodyText"/>
        <w:spacing w:line="266" w:lineRule="auto"/>
        <w:ind w:left="156" w:right="39"/>
        <w:jc w:val="both"/>
      </w:pPr>
    </w:p>
    <w:p w14:paraId="62603BCB" w14:textId="5DE7AFA3" w:rsidR="002233E5" w:rsidRPr="007222DE" w:rsidRDefault="00560D62" w:rsidP="00353A0B">
      <w:pPr>
        <w:pStyle w:val="BodyText"/>
        <w:spacing w:line="266" w:lineRule="auto"/>
        <w:ind w:left="156" w:right="39"/>
        <w:jc w:val="both"/>
      </w:pPr>
      <w:r w:rsidRPr="007222DE">
        <w:t xml:space="preserve">The Fund’s base currency is </w:t>
      </w:r>
      <w:r w:rsidR="002233E5" w:rsidRPr="007222DE">
        <w:t>US dollars</w:t>
      </w:r>
      <w:r w:rsidR="00C317A1" w:rsidRPr="007222DE">
        <w:t>. T</w:t>
      </w:r>
      <w:r w:rsidR="002233E5" w:rsidRPr="007222DE">
        <w:t>he class cur</w:t>
      </w:r>
      <w:r w:rsidR="00A946CB" w:rsidRPr="007222DE">
        <w:t xml:space="preserve">rency for this </w:t>
      </w:r>
      <w:r w:rsidR="002646DE" w:rsidRPr="007222DE">
        <w:t>Share</w:t>
      </w:r>
      <w:r w:rsidR="00A946CB" w:rsidRPr="007222DE">
        <w:t xml:space="preserve"> </w:t>
      </w:r>
      <w:r w:rsidR="00A946CB" w:rsidRPr="007222DE">
        <w:t xml:space="preserve">Class is </w:t>
      </w:r>
      <w:r w:rsidR="00C317A1" w:rsidRPr="007222DE">
        <w:t>AUD</w:t>
      </w:r>
      <w:r w:rsidRPr="007222DE">
        <w:t>.</w:t>
      </w:r>
      <w:r w:rsidR="002233E5" w:rsidRPr="007222DE">
        <w:t xml:space="preserve"> </w:t>
      </w:r>
      <w:r w:rsidR="00353A0B" w:rsidRPr="007222DE">
        <w:t xml:space="preserve">This </w:t>
      </w:r>
      <w:r w:rsidR="002646DE" w:rsidRPr="007222DE">
        <w:t>Share</w:t>
      </w:r>
      <w:r w:rsidR="00353A0B" w:rsidRPr="007222DE">
        <w:t xml:space="preserve"> Class is only available to investors with separate arrangements with the Investment Manager with regard to investment management fees.</w:t>
      </w:r>
    </w:p>
    <w:p w14:paraId="6576ABE5" w14:textId="77777777" w:rsidR="0087228C" w:rsidRPr="007222DE" w:rsidRDefault="0087228C" w:rsidP="00353A0B">
      <w:pPr>
        <w:pStyle w:val="BodyText"/>
        <w:spacing w:line="266" w:lineRule="auto"/>
        <w:ind w:left="156" w:right="39"/>
        <w:jc w:val="both"/>
      </w:pPr>
    </w:p>
    <w:p w14:paraId="34A6CB1F" w14:textId="4092CF5D" w:rsidR="00F026DD" w:rsidRPr="007222DE" w:rsidRDefault="00560D62">
      <w:pPr>
        <w:pStyle w:val="BodyText"/>
        <w:spacing w:before="1" w:line="266" w:lineRule="auto"/>
        <w:ind w:left="156" w:right="138"/>
        <w:jc w:val="both"/>
      </w:pPr>
      <w:r w:rsidRPr="007222DE">
        <w:t>Portfolio transaction costs may have an impact on the Fund’s performance. Portfolio transaction costs are paid out of the assets of the Fund, in addition to the charges set out</w:t>
      </w:r>
      <w:r w:rsidRPr="007222DE">
        <w:rPr>
          <w:spacing w:val="9"/>
        </w:rPr>
        <w:t xml:space="preserve"> </w:t>
      </w:r>
      <w:r w:rsidRPr="007222DE">
        <w:t>below.</w:t>
      </w:r>
    </w:p>
    <w:p w14:paraId="18FFDDA2" w14:textId="77777777" w:rsidR="00222B3B" w:rsidRPr="007222DE" w:rsidRDefault="00222B3B" w:rsidP="00222B3B">
      <w:pPr>
        <w:jc w:val="both"/>
        <w:rPr>
          <w:sz w:val="16"/>
          <w:szCs w:val="16"/>
        </w:rPr>
      </w:pPr>
    </w:p>
    <w:p w14:paraId="343959CE" w14:textId="00BC7042" w:rsidR="00F026DD" w:rsidRDefault="00560D62" w:rsidP="00222B3B">
      <w:pPr>
        <w:ind w:left="156"/>
        <w:jc w:val="both"/>
        <w:rPr>
          <w:sz w:val="16"/>
          <w:szCs w:val="16"/>
        </w:rPr>
      </w:pPr>
      <w:r w:rsidRPr="007222DE">
        <w:rPr>
          <w:sz w:val="16"/>
          <w:szCs w:val="16"/>
        </w:rPr>
        <w:t xml:space="preserve">This Fund is actively managed in reference to the </w:t>
      </w:r>
      <w:r w:rsidR="0088070D" w:rsidRPr="007222DE">
        <w:rPr>
          <w:sz w:val="16"/>
          <w:szCs w:val="16"/>
        </w:rPr>
        <w:t>Benchmark</w:t>
      </w:r>
      <w:r w:rsidRPr="007222DE">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w:t>
      </w:r>
      <w:r w:rsidR="00A356F9" w:rsidRPr="007222DE">
        <w:rPr>
          <w:sz w:val="16"/>
          <w:szCs w:val="16"/>
        </w:rPr>
        <w:t xml:space="preserve"> </w:t>
      </w:r>
      <w:r w:rsidRPr="007222DE">
        <w:rPr>
          <w:sz w:val="16"/>
          <w:szCs w:val="16"/>
        </w:rPr>
        <w:t>Benchmark. This deviation may be material.</w:t>
      </w:r>
    </w:p>
    <w:p w14:paraId="582B553D" w14:textId="1171E705" w:rsidR="00222B3B" w:rsidRDefault="00222B3B" w:rsidP="00222B3B">
      <w:pPr>
        <w:ind w:left="156"/>
        <w:jc w:val="both"/>
        <w:rPr>
          <w:sz w:val="16"/>
          <w:szCs w:val="16"/>
        </w:rPr>
      </w:pPr>
    </w:p>
    <w:p w14:paraId="445E97EF" w14:textId="30C624D0" w:rsidR="00222B3B" w:rsidRDefault="00222B3B" w:rsidP="00222B3B">
      <w:pPr>
        <w:ind w:left="156"/>
        <w:jc w:val="both"/>
        <w:rPr>
          <w:sz w:val="16"/>
          <w:szCs w:val="16"/>
        </w:rPr>
      </w:pPr>
      <w:r w:rsidRPr="00222B3B">
        <w:rPr>
          <w:sz w:val="16"/>
          <w:szCs w:val="16"/>
        </w:rPr>
        <w:t>Any income arising from the Fund will be reinvested and it is not intended that the Fund will pay dividends.</w:t>
      </w:r>
    </w:p>
    <w:p w14:paraId="3C7EFF2D" w14:textId="77777777" w:rsidR="00222B3B" w:rsidRPr="00222B3B" w:rsidRDefault="00222B3B" w:rsidP="00222B3B">
      <w:pPr>
        <w:ind w:left="156"/>
        <w:jc w:val="both"/>
      </w:pPr>
    </w:p>
    <w:p w14:paraId="17371073" w14:textId="777BD108" w:rsidR="00F026DD" w:rsidRPr="00C12A4A" w:rsidRDefault="00560D62">
      <w:pPr>
        <w:pStyle w:val="BodyText"/>
        <w:spacing w:line="266" w:lineRule="auto"/>
        <w:ind w:left="156" w:right="139"/>
        <w:jc w:val="both"/>
      </w:pPr>
      <w:r w:rsidRPr="00C12A4A">
        <w:t xml:space="preserve">Unless otherwise defined in this document, all words and expressions defined in the </w:t>
      </w:r>
      <w:r w:rsidR="002646DE">
        <w:t>ICAV’s</w:t>
      </w:r>
      <w:r w:rsidRPr="00C12A4A">
        <w:t xml:space="preserve"> current Prospectus shall have the same meaning herein.</w:t>
      </w:r>
    </w:p>
    <w:p w14:paraId="367ED2BC" w14:textId="77777777" w:rsidR="00F026DD" w:rsidRPr="00C12A4A"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t xml:space="preserve">You may buy and sell </w:t>
      </w:r>
      <w:r w:rsidR="002646DE">
        <w:t>shares</w:t>
      </w:r>
      <w:r w:rsidR="00560D62" w:rsidRPr="00C12A4A">
        <w:t xml:space="preserve"> in the Fund on any day (except Saturday or Sunday) on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 xml:space="preserve">In addition to the risk captured by the indicator, the overall Fund </w:t>
      </w:r>
      <w:r w:rsidRPr="0088070D">
        <w:t>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r w:rsidR="002264E7" w:rsidRPr="0088070D">
        <w:rPr>
          <w:sz w:val="16"/>
        </w:rPr>
        <w:t>minimi</w:t>
      </w:r>
      <w:r w:rsidR="00222B3B">
        <w:rPr>
          <w:sz w:val="16"/>
        </w:rPr>
        <w:t>s</w:t>
      </w:r>
      <w:r w:rsidR="002264E7" w:rsidRPr="0088070D">
        <w:rPr>
          <w:sz w:val="16"/>
        </w:rPr>
        <w:t>e</w:t>
      </w:r>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48ED625D"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2F567094"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146883">
                                    <w:rPr>
                                      <w:sz w:val="16"/>
                                    </w:rPr>
                                    <w:t>0</w:t>
                                  </w:r>
                                  <w:r>
                                    <w:rPr>
                                      <w:sz w:val="16"/>
                                    </w:rPr>
                                    <w:t>.00%</w:t>
                                  </w:r>
                                </w:p>
                                <w:p w14:paraId="7A2D5CB7" w14:textId="353369F5"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146883">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2437"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2F567094"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146883">
                              <w:rPr>
                                <w:sz w:val="16"/>
                              </w:rPr>
                              <w:t>0</w:t>
                            </w:r>
                            <w:r>
                              <w:rPr>
                                <w:sz w:val="16"/>
                              </w:rPr>
                              <w:t>.00%</w:t>
                            </w:r>
                          </w:p>
                          <w:p w14:paraId="7A2D5CB7" w14:textId="353369F5"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146883">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146883" w:rsidRPr="00146883">
        <w:t xml:space="preserve">A conversion fee of up to 3% may be charged in the future, however it is not currently intended that any such charge will be applied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r w:rsidR="00CE5710">
        <w:t>D</w:t>
      </w:r>
      <w:r w:rsidR="00560D62" w:rsidRPr="0088070D">
        <w:t xml:space="preserve">istributor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4"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4"/>
    </w:p>
    <w:p w14:paraId="1CCD798C" w14:textId="77777777" w:rsidR="00135A87" w:rsidRDefault="00135A87" w:rsidP="000C799F">
      <w:pPr>
        <w:pStyle w:val="BodyText"/>
        <w:spacing w:before="1" w:line="266" w:lineRule="auto"/>
        <w:ind w:left="5945" w:right="139"/>
        <w:jc w:val="both"/>
      </w:pPr>
    </w:p>
    <w:p w14:paraId="06AE6346" w14:textId="55E359E2" w:rsidR="00F026DD" w:rsidRDefault="00F026DD">
      <w:pPr>
        <w:pStyle w:val="BodyText"/>
        <w:rPr>
          <w:sz w:val="18"/>
        </w:rPr>
      </w:pPr>
    </w:p>
    <w:p w14:paraId="0DFC139D" w14:textId="77777777" w:rsidR="00146883" w:rsidRPr="0088070D" w:rsidRDefault="00146883">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64F38EF3"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2139D8">
        <w:t xml:space="preserve">22 September </w:t>
      </w:r>
      <w:r w:rsidR="00CE5710">
        <w:t>2023</w:t>
      </w:r>
      <w:r w:rsidRPr="00472BC3">
        <w:t xml:space="preserve">. </w:t>
      </w:r>
      <w:r>
        <w:t xml:space="preserve">This </w:t>
      </w:r>
      <w:r w:rsidRPr="00472BC3">
        <w:t xml:space="preserve">Class was </w:t>
      </w:r>
      <w:r>
        <w:t>created</w:t>
      </w:r>
      <w:r w:rsidRPr="00472BC3">
        <w:t xml:space="preserve"> on </w:t>
      </w:r>
      <w:r w:rsidR="002139D8">
        <w:t xml:space="preserve">22 September </w:t>
      </w:r>
      <w:r w:rsidR="00CE5710">
        <w:t>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5" w:name="_Hlk144456804"/>
      <w:r w:rsidRPr="0088070D">
        <w:t xml:space="preserve">the </w:t>
      </w:r>
      <w:r w:rsidRPr="00223542">
        <w:rPr>
          <w:bCs/>
        </w:rPr>
        <w:t>Manager</w:t>
      </w:r>
      <w:r w:rsidRPr="0088070D">
        <w:t xml:space="preserve"> </w:t>
      </w:r>
      <w:bookmarkEnd w:id="5"/>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The net asset value of the Fund is calculated</w:t>
      </w:r>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4ACE78D7" w:rsidR="00F026DD" w:rsidRDefault="00560D62" w:rsidP="00DF306C">
      <w:pPr>
        <w:pStyle w:val="BodyText"/>
        <w:spacing w:before="1" w:line="266" w:lineRule="auto"/>
        <w:ind w:left="156" w:right="40"/>
        <w:jc w:val="both"/>
      </w:pPr>
      <w:r w:rsidRPr="00F64539">
        <w:rPr>
          <w:b/>
        </w:rPr>
        <w:t>Switches:</w:t>
      </w:r>
      <w:r w:rsidRPr="00F64539">
        <w:t xml:space="preserve"> </w:t>
      </w:r>
      <w:r w:rsidR="00DF306C">
        <w:t>Shareholders may request conversion of some or all of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w:t>
      </w:r>
      <w:r w:rsidR="00597E1F" w:rsidRPr="007222DE">
        <w:t xml:space="preserve">describes the </w:t>
      </w:r>
      <w:r w:rsidR="00A946CB" w:rsidRPr="007222DE">
        <w:t>Clas</w:t>
      </w:r>
      <w:r w:rsidR="00DF306C" w:rsidRPr="007222DE">
        <w:t>s AFF</w:t>
      </w:r>
      <w:r w:rsidR="007222DE">
        <w:t xml:space="preserve"> (hedged)</w:t>
      </w:r>
      <w:r w:rsidR="00A946CB" w:rsidRPr="007222DE">
        <w:t xml:space="preserve"> </w:t>
      </w:r>
      <w:r w:rsidR="002646DE" w:rsidRPr="007222DE">
        <w:t>shares</w:t>
      </w:r>
      <w:r w:rsidR="00A946CB" w:rsidRPr="007222DE">
        <w:t xml:space="preserve"> of </w:t>
      </w:r>
      <w:r w:rsidR="00597E1F" w:rsidRPr="007222DE">
        <w:t xml:space="preserve">the Fund, a sub-fund of </w:t>
      </w:r>
      <w:r w:rsidR="00223542" w:rsidRPr="007222DE">
        <w:t>the ICAV</w:t>
      </w:r>
      <w:r w:rsidR="00597E1F" w:rsidRPr="007222DE">
        <w:t xml:space="preserve">. Information relating to all of the </w:t>
      </w:r>
      <w:r w:rsidR="002646DE" w:rsidRPr="007222DE">
        <w:t>share</w:t>
      </w:r>
      <w:r w:rsidR="00597E1F" w:rsidRPr="007222DE">
        <w:t xml:space="preserve"> classes is available in the Prospectus and the Supplement</w:t>
      </w:r>
      <w:r w:rsidR="00597E1F">
        <w:t xml:space="preserve">.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the</w:t>
      </w:r>
      <w:r w:rsidRPr="0088070D">
        <w:rPr>
          <w:spacing w:val="8"/>
        </w:rPr>
        <w:t xml:space="preserve"> </w:t>
      </w:r>
      <w:r w:rsidRPr="0088070D">
        <w:t>Prospectus.</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4C7E989A" w14:textId="6D876592" w:rsidR="00F026DD" w:rsidRPr="0088070D" w:rsidRDefault="00560D62" w:rsidP="002233E5">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253FDAE0" w14:textId="77777777" w:rsidR="00C56D3E" w:rsidRDefault="00C56D3E" w:rsidP="00C56D3E">
      <w:pPr>
        <w:spacing w:line="266" w:lineRule="auto"/>
        <w:jc w:val="both"/>
      </w:pPr>
      <w:r>
        <w:t xml:space="preserve"> </w:t>
      </w:r>
    </w:p>
    <w:p w14:paraId="549614D4" w14:textId="0C72A565" w:rsidR="00C56D3E" w:rsidRPr="00C56D3E" w:rsidRDefault="00C56D3E" w:rsidP="00C56D3E">
      <w:pPr>
        <w:spacing w:line="266" w:lineRule="auto"/>
        <w:ind w:left="156"/>
        <w:jc w:val="both"/>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Tellco AG.</w:t>
      </w:r>
    </w:p>
    <w:p w14:paraId="1732A2FE" w14:textId="7C7FF990" w:rsidR="00C56D3E" w:rsidRDefault="00C56D3E" w:rsidP="002233E5">
      <w:pPr>
        <w:spacing w:line="266" w:lineRule="auto"/>
        <w:jc w:val="both"/>
      </w:pPr>
    </w:p>
    <w:p w14:paraId="4F241106" w14:textId="77777777" w:rsidR="00C56D3E" w:rsidRDefault="00C56D3E" w:rsidP="002233E5">
      <w:pPr>
        <w:spacing w:line="266" w:lineRule="auto"/>
        <w:jc w:val="both"/>
      </w:pPr>
    </w:p>
    <w:p w14:paraId="2FB11D52" w14:textId="6F4A8961" w:rsidR="00C56D3E" w:rsidRPr="0088070D" w:rsidRDefault="00C56D3E" w:rsidP="002233E5">
      <w:pPr>
        <w:spacing w:line="266" w:lineRule="auto"/>
        <w:jc w:val="both"/>
        <w:sectPr w:rsidR="00C56D3E" w:rsidRPr="0088070D">
          <w:type w:val="continuous"/>
          <w:pgSz w:w="11910" w:h="16840"/>
          <w:pgMar w:top="580" w:right="360" w:bottom="280" w:left="280" w:header="720" w:footer="720" w:gutter="0"/>
          <w:cols w:num="2" w:space="720" w:equalWidth="0">
            <w:col w:w="5378" w:space="411"/>
            <w:col w:w="5481"/>
          </w:cols>
        </w:sectPr>
      </w:pPr>
    </w:p>
    <w:p w14:paraId="01B2DF0D" w14:textId="655E75E1" w:rsidR="00F026DD" w:rsidRDefault="002F5A95" w:rsidP="00C56D3E">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authorised with effect from </w:t>
      </w:r>
      <w:r w:rsidR="00223542">
        <w:t>7 April 2017</w:t>
      </w:r>
      <w:r w:rsidR="00560D62" w:rsidRPr="0088070D">
        <w:t xml:space="preserve">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w:t>
      </w:r>
      <w:r w:rsidR="00C56D3E">
        <w:t xml:space="preserve"> </w:t>
      </w:r>
      <w:r w:rsidR="00560D62" w:rsidRPr="0088070D">
        <w:t xml:space="preserve">This Key </w:t>
      </w:r>
      <w:r w:rsidR="00283B95">
        <w:t xml:space="preserve">Investor </w:t>
      </w:r>
      <w:r w:rsidR="00560D62" w:rsidRPr="0088070D">
        <w:t>Informati</w:t>
      </w:r>
      <w:r w:rsidRPr="0088070D">
        <w:t xml:space="preserve">on Document is accurate as at </w:t>
      </w:r>
      <w:r w:rsidR="00C56D3E">
        <w:t>07 February 2024.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67AC7"/>
    <w:rsid w:val="000C799F"/>
    <w:rsid w:val="000D3B9D"/>
    <w:rsid w:val="00132CBA"/>
    <w:rsid w:val="00135A87"/>
    <w:rsid w:val="00146883"/>
    <w:rsid w:val="0016426A"/>
    <w:rsid w:val="00187CB4"/>
    <w:rsid w:val="001902BA"/>
    <w:rsid w:val="001A6A54"/>
    <w:rsid w:val="001D5238"/>
    <w:rsid w:val="002139D8"/>
    <w:rsid w:val="00222B3B"/>
    <w:rsid w:val="002233E5"/>
    <w:rsid w:val="00223542"/>
    <w:rsid w:val="002264E7"/>
    <w:rsid w:val="00231B4B"/>
    <w:rsid w:val="00242844"/>
    <w:rsid w:val="002646DE"/>
    <w:rsid w:val="00272CE4"/>
    <w:rsid w:val="00275989"/>
    <w:rsid w:val="00283B95"/>
    <w:rsid w:val="00291571"/>
    <w:rsid w:val="002C0639"/>
    <w:rsid w:val="002F5A95"/>
    <w:rsid w:val="00321D83"/>
    <w:rsid w:val="00353A0B"/>
    <w:rsid w:val="003B1995"/>
    <w:rsid w:val="003F47EB"/>
    <w:rsid w:val="00431AD8"/>
    <w:rsid w:val="00434659"/>
    <w:rsid w:val="00454492"/>
    <w:rsid w:val="00485DF4"/>
    <w:rsid w:val="004A4BF3"/>
    <w:rsid w:val="0051243B"/>
    <w:rsid w:val="00560D62"/>
    <w:rsid w:val="00597E1F"/>
    <w:rsid w:val="005A71A9"/>
    <w:rsid w:val="00604F25"/>
    <w:rsid w:val="00623DB0"/>
    <w:rsid w:val="00663364"/>
    <w:rsid w:val="006B26C2"/>
    <w:rsid w:val="007222DE"/>
    <w:rsid w:val="007324B4"/>
    <w:rsid w:val="007D0C41"/>
    <w:rsid w:val="007F0E9A"/>
    <w:rsid w:val="00804275"/>
    <w:rsid w:val="00850781"/>
    <w:rsid w:val="0087228C"/>
    <w:rsid w:val="00875752"/>
    <w:rsid w:val="0088070D"/>
    <w:rsid w:val="00951AD0"/>
    <w:rsid w:val="009536D9"/>
    <w:rsid w:val="00990941"/>
    <w:rsid w:val="009E1FC5"/>
    <w:rsid w:val="00A04B54"/>
    <w:rsid w:val="00A16251"/>
    <w:rsid w:val="00A162F6"/>
    <w:rsid w:val="00A356F9"/>
    <w:rsid w:val="00A86D4A"/>
    <w:rsid w:val="00A946CB"/>
    <w:rsid w:val="00AA5B21"/>
    <w:rsid w:val="00B444CE"/>
    <w:rsid w:val="00B47D99"/>
    <w:rsid w:val="00B5209B"/>
    <w:rsid w:val="00B70315"/>
    <w:rsid w:val="00C12A4A"/>
    <w:rsid w:val="00C317A1"/>
    <w:rsid w:val="00C42517"/>
    <w:rsid w:val="00C56D3E"/>
    <w:rsid w:val="00CE5710"/>
    <w:rsid w:val="00CF7DD3"/>
    <w:rsid w:val="00D45D5F"/>
    <w:rsid w:val="00DA70C0"/>
    <w:rsid w:val="00DF306C"/>
    <w:rsid w:val="00E20C9D"/>
    <w:rsid w:val="00E608D3"/>
    <w:rsid w:val="00F021CB"/>
    <w:rsid w:val="00F026DD"/>
    <w:rsid w:val="00F05B96"/>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 w:id="510992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1900-01-01T00:00:00Z</dcterms:created>
  <dcterms:modified xsi:type="dcterms:W3CDTF">2024-02-07T14:13:00Z</dcterms:modified>
</cp:coreProperties>
</file>