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BEC7" w14:textId="77777777" w:rsidR="00212F65" w:rsidRDefault="00212F65">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7C4A082E" w14:textId="77777777">
        <w:trPr>
          <w:trHeight w:hRule="exact" w:val="226"/>
        </w:trPr>
        <w:tc>
          <w:tcPr>
            <w:tcW w:w="10544" w:type="dxa"/>
            <w:shd w:val="clear" w:color="auto" w:fill="auto"/>
            <w:noWrap/>
            <w:tcMar>
              <w:left w:w="56" w:type="dxa"/>
              <w:right w:w="56" w:type="dxa"/>
            </w:tcMar>
            <w:vAlign w:val="center"/>
          </w:tcPr>
          <w:p w14:paraId="07E1CB89" w14:textId="77777777" w:rsidR="00212F65" w:rsidRDefault="00212F65">
            <w:pPr>
              <w:keepNext/>
              <w:autoSpaceDE w:val="0"/>
              <w:autoSpaceDN w:val="0"/>
              <w:jc w:val="both"/>
              <w:rPr>
                <w:rFonts w:ascii="Arial" w:eastAsia="Arial" w:hAnsi="Arial" w:cs="Arial"/>
                <w:color w:val="000000"/>
                <w:sz w:val="16"/>
              </w:rPr>
            </w:pPr>
          </w:p>
        </w:tc>
      </w:tr>
      <w:tr w:rsidR="00212F65" w14:paraId="18D47B01" w14:textId="77777777">
        <w:trPr>
          <w:trHeight w:hRule="exact" w:val="453"/>
        </w:trPr>
        <w:tc>
          <w:tcPr>
            <w:tcW w:w="10544" w:type="dxa"/>
            <w:shd w:val="clear" w:color="auto" w:fill="auto"/>
            <w:noWrap/>
            <w:tcMar>
              <w:left w:w="56" w:type="dxa"/>
              <w:right w:w="56" w:type="dxa"/>
            </w:tcMar>
            <w:vAlign w:val="center"/>
          </w:tcPr>
          <w:p w14:paraId="3F28BC81" w14:textId="77777777" w:rsidR="00212F65" w:rsidRDefault="00212F65">
            <w:pPr>
              <w:keepNext/>
              <w:autoSpaceDE w:val="0"/>
              <w:autoSpaceDN w:val="0"/>
              <w:rPr>
                <w:rFonts w:ascii="Arial" w:eastAsia="Arial" w:hAnsi="Arial" w:cs="Arial"/>
                <w:color w:val="000000"/>
                <w:sz w:val="16"/>
              </w:rPr>
            </w:pPr>
          </w:p>
        </w:tc>
      </w:tr>
      <w:tr w:rsidR="00212F65" w14:paraId="7CA56FC3" w14:textId="77777777">
        <w:trPr>
          <w:trHeight w:hRule="exact" w:val="481"/>
        </w:trPr>
        <w:tc>
          <w:tcPr>
            <w:tcW w:w="10544" w:type="dxa"/>
            <w:shd w:val="clear" w:color="auto" w:fill="auto"/>
            <w:noWrap/>
            <w:tcMar>
              <w:left w:w="56" w:type="dxa"/>
              <w:right w:w="56" w:type="dxa"/>
            </w:tcMar>
            <w:vAlign w:val="center"/>
          </w:tcPr>
          <w:p w14:paraId="2A7F9C8C" w14:textId="77777777" w:rsidR="00212F65" w:rsidRDefault="00AE3C9C">
            <w:pPr>
              <w:keepNext/>
              <w:autoSpaceDE w:val="0"/>
              <w:autoSpaceDN w:val="0"/>
              <w:jc w:val="center"/>
            </w:pPr>
            <w:r>
              <w:rPr>
                <w:rFonts w:ascii="Arial" w:eastAsia="Arial" w:hAnsi="Arial" w:cs="Arial"/>
                <w:b/>
                <w:color w:val="000000"/>
                <w:sz w:val="28"/>
              </w:rPr>
              <w:t>Key Investor Information</w:t>
            </w:r>
          </w:p>
        </w:tc>
      </w:tr>
      <w:tr w:rsidR="00212F65" w14:paraId="0E2E4521" w14:textId="77777777">
        <w:trPr>
          <w:trHeight w:hRule="exact" w:val="737"/>
        </w:trPr>
        <w:tc>
          <w:tcPr>
            <w:tcW w:w="10544" w:type="dxa"/>
            <w:shd w:val="clear" w:color="auto" w:fill="auto"/>
            <w:noWrap/>
            <w:tcMar>
              <w:left w:w="56" w:type="dxa"/>
              <w:right w:w="56" w:type="dxa"/>
            </w:tcMar>
          </w:tcPr>
          <w:p w14:paraId="71BD81ED" w14:textId="77777777" w:rsidR="00212F65" w:rsidRDefault="00AE3C9C">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201EC959"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3DC0E7C1" w14:textId="77777777">
        <w:trPr>
          <w:trHeight w:hRule="exact" w:val="340"/>
        </w:trPr>
        <w:tc>
          <w:tcPr>
            <w:tcW w:w="10544" w:type="dxa"/>
            <w:shd w:val="solid" w:color="C0C0C0" w:fill="auto"/>
            <w:tcMar>
              <w:left w:w="56" w:type="dxa"/>
              <w:right w:w="56" w:type="dxa"/>
            </w:tcMar>
            <w:vAlign w:val="center"/>
          </w:tcPr>
          <w:p w14:paraId="581F2450" w14:textId="77777777" w:rsidR="00212F65" w:rsidRDefault="00AE3C9C">
            <w:pPr>
              <w:keepNext/>
              <w:autoSpaceDE w:val="0"/>
              <w:autoSpaceDN w:val="0"/>
            </w:pPr>
            <w:r>
              <w:rPr>
                <w:rFonts w:ascii="Arial" w:eastAsia="Arial" w:hAnsi="Arial" w:cs="Arial"/>
                <w:b/>
                <w:color w:val="000000"/>
                <w:sz w:val="24"/>
              </w:rPr>
              <w:t>Sigma Select Global Leaders Fund</w:t>
            </w:r>
          </w:p>
        </w:tc>
      </w:tr>
      <w:tr w:rsidR="00212F65" w14:paraId="6D8527D6" w14:textId="77777777">
        <w:trPr>
          <w:trHeight w:hRule="exact" w:val="170"/>
        </w:trPr>
        <w:tc>
          <w:tcPr>
            <w:tcW w:w="10544" w:type="dxa"/>
            <w:shd w:val="solid" w:color="C0C0C0" w:fill="auto"/>
            <w:tcMar>
              <w:left w:w="56" w:type="dxa"/>
              <w:right w:w="56" w:type="dxa"/>
            </w:tcMar>
          </w:tcPr>
          <w:p w14:paraId="2C87B706" w14:textId="77777777" w:rsidR="00212F65" w:rsidRDefault="00AE3C9C">
            <w:pPr>
              <w:keepNext/>
              <w:autoSpaceDE w:val="0"/>
              <w:autoSpaceDN w:val="0"/>
              <w:spacing w:before="3"/>
            </w:pPr>
            <w:r>
              <w:rPr>
                <w:rFonts w:ascii="Arial" w:eastAsia="Arial" w:hAnsi="Arial" w:cs="Arial"/>
                <w:b/>
                <w:color w:val="000000"/>
                <w:sz w:val="16"/>
              </w:rPr>
              <w:t>a sub-Fund of PRESCIENT GLOBAL FUNDS ICAV ("THE ICAV")</w:t>
            </w:r>
          </w:p>
        </w:tc>
      </w:tr>
      <w:tr w:rsidR="00212F65" w14:paraId="0B53B0F1" w14:textId="77777777">
        <w:trPr>
          <w:trHeight w:hRule="exact" w:val="28"/>
        </w:trPr>
        <w:tc>
          <w:tcPr>
            <w:tcW w:w="10544" w:type="dxa"/>
            <w:shd w:val="solid" w:color="C0C0C0" w:fill="auto"/>
            <w:tcMar>
              <w:left w:w="56" w:type="dxa"/>
              <w:right w:w="56" w:type="dxa"/>
            </w:tcMar>
            <w:vAlign w:val="center"/>
          </w:tcPr>
          <w:p w14:paraId="28562199" w14:textId="77777777" w:rsidR="00212F65" w:rsidRDefault="00212F65">
            <w:pPr>
              <w:keepNext/>
              <w:autoSpaceDE w:val="0"/>
              <w:autoSpaceDN w:val="0"/>
              <w:rPr>
                <w:rFonts w:ascii="Arial" w:eastAsia="Arial" w:hAnsi="Arial" w:cs="Arial"/>
                <w:b/>
                <w:color w:val="000000"/>
                <w:sz w:val="16"/>
              </w:rPr>
            </w:pPr>
          </w:p>
        </w:tc>
      </w:tr>
      <w:tr w:rsidR="00212F65" w14:paraId="3BADF619" w14:textId="77777777">
        <w:trPr>
          <w:trHeight w:hRule="exact" w:val="226"/>
        </w:trPr>
        <w:tc>
          <w:tcPr>
            <w:tcW w:w="10544" w:type="dxa"/>
            <w:shd w:val="solid" w:color="D9D9D9" w:fill="auto"/>
            <w:tcMar>
              <w:left w:w="56" w:type="dxa"/>
              <w:right w:w="56" w:type="dxa"/>
            </w:tcMar>
            <w:vAlign w:val="center"/>
          </w:tcPr>
          <w:p w14:paraId="24B7D688" w14:textId="77777777" w:rsidR="00212F65" w:rsidRDefault="00AE3C9C">
            <w:pPr>
              <w:keepNext/>
              <w:autoSpaceDE w:val="0"/>
              <w:autoSpaceDN w:val="0"/>
            </w:pPr>
            <w:r>
              <w:rPr>
                <w:rFonts w:ascii="Arial" w:eastAsia="Arial" w:hAnsi="Arial" w:cs="Arial"/>
                <w:b/>
                <w:color w:val="000000"/>
                <w:sz w:val="16"/>
              </w:rPr>
              <w:t>ISIN: IE00BJDQ3Q47 , Share Class: D USD</w:t>
            </w:r>
          </w:p>
        </w:tc>
      </w:tr>
      <w:tr w:rsidR="00212F65" w14:paraId="3BE462EE" w14:textId="77777777">
        <w:trPr>
          <w:trHeight w:hRule="exact" w:val="226"/>
        </w:trPr>
        <w:tc>
          <w:tcPr>
            <w:tcW w:w="10544" w:type="dxa"/>
            <w:shd w:val="solid" w:color="D9D9D9" w:fill="auto"/>
            <w:tcMar>
              <w:left w:w="56" w:type="dxa"/>
              <w:right w:w="56" w:type="dxa"/>
            </w:tcMar>
            <w:vAlign w:val="bottom"/>
          </w:tcPr>
          <w:p w14:paraId="1BC6FCFE" w14:textId="77777777" w:rsidR="00212F65" w:rsidRDefault="00AE3C9C">
            <w:pPr>
              <w:keepNext/>
              <w:autoSpaceDE w:val="0"/>
              <w:autoSpaceDN w:val="0"/>
            </w:pPr>
            <w:r>
              <w:rPr>
                <w:rFonts w:ascii="Arial" w:eastAsia="Arial" w:hAnsi="Arial" w:cs="Arial"/>
                <w:b/>
                <w:color w:val="000000"/>
                <w:sz w:val="16"/>
              </w:rPr>
              <w:t>This Fund is managed by Prescient Fund Services (Ireland) Limited (The "Manager")</w:t>
            </w:r>
          </w:p>
        </w:tc>
      </w:tr>
      <w:tr w:rsidR="00212F65" w14:paraId="71A1CEA2" w14:textId="77777777">
        <w:trPr>
          <w:trHeight w:hRule="exact" w:val="311"/>
        </w:trPr>
        <w:tc>
          <w:tcPr>
            <w:tcW w:w="10544" w:type="dxa"/>
            <w:shd w:val="clear" w:color="auto" w:fill="auto"/>
            <w:tcMar>
              <w:left w:w="56" w:type="dxa"/>
              <w:right w:w="56" w:type="dxa"/>
            </w:tcMar>
            <w:vAlign w:val="center"/>
          </w:tcPr>
          <w:p w14:paraId="43B42951" w14:textId="77777777" w:rsidR="00212F65" w:rsidRDefault="00212F65">
            <w:pPr>
              <w:autoSpaceDE w:val="0"/>
              <w:autoSpaceDN w:val="0"/>
              <w:rPr>
                <w:rFonts w:ascii="Arial" w:eastAsia="Arial" w:hAnsi="Arial" w:cs="Arial"/>
                <w:b/>
                <w:color w:val="000000"/>
                <w:sz w:val="16"/>
              </w:rPr>
            </w:pPr>
          </w:p>
        </w:tc>
      </w:tr>
    </w:tbl>
    <w:p w14:paraId="6780FE42"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550DB1C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AA708E9" w14:textId="77777777" w:rsidR="00212F65" w:rsidRDefault="00AE3C9C">
            <w:pPr>
              <w:autoSpaceDE w:val="0"/>
              <w:autoSpaceDN w:val="0"/>
            </w:pPr>
            <w:r>
              <w:rPr>
                <w:rFonts w:ascii="Arial" w:eastAsia="Arial" w:hAnsi="Arial" w:cs="Arial"/>
                <w:b/>
                <w:color w:val="000000"/>
                <w:sz w:val="18"/>
              </w:rPr>
              <w:t>Objectives and Investment Policy</w:t>
            </w:r>
          </w:p>
        </w:tc>
      </w:tr>
    </w:tbl>
    <w:p w14:paraId="096AF98A" w14:textId="77777777" w:rsidR="00212F65" w:rsidRDefault="00212F65">
      <w:pPr>
        <w:autoSpaceDE w:val="0"/>
        <w:autoSpaceDN w:val="0"/>
        <w:rPr>
          <w:sz w:val="2"/>
          <w:szCs w:val="2"/>
        </w:rPr>
        <w:sectPr w:rsidR="00212F65">
          <w:headerReference w:type="default" r:id="rId7"/>
          <w:footerReference w:type="default" r:id="rId8"/>
          <w:footnotePr>
            <w:numRestart w:val="eachSect"/>
          </w:footnotePr>
          <w:pgSz w:w="11905" w:h="16837"/>
          <w:pgMar w:top="0" w:right="793" w:bottom="0" w:left="566" w:header="0" w:footer="0" w:gutter="0"/>
          <w:cols w:space="0"/>
        </w:sectPr>
      </w:pPr>
    </w:p>
    <w:p w14:paraId="67F3E478"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The Fund has as its primary objective to outperform the MSCI All Country World Index (the "Benchmark"), which is a free float-adjusted market capitalisation index that is designed to measure developed- market equity performance throughout the world.</w:t>
      </w:r>
    </w:p>
    <w:p w14:paraId="1290B86C"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4FFBF21"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To achieve its objective, the Fund will invest up to 100% of its net assets in global equities, primarily through collective investment schemes and/or managed accounts. The Fund may also gain direct exposure to equity and equity-related securities such as common stock, preference shares and convertible preference shares, which are listed or traded on Recognised Exchanges.</w:t>
      </w:r>
    </w:p>
    <w:p w14:paraId="72544228"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57AEB53"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100% of its Net Asset Value in UCITS and alternative investment funds, in accordance with the requirements of the Central Bank to gain exposure to global equity markets.</w:t>
      </w:r>
    </w:p>
    <w:p w14:paraId="77A28D1D"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20C9A0E"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exposure to global equity markets by utilising segregated accounts (i.e. managed accounts), which are managed by discretionary investment managers selected and appointed by the Investment Manager as sub-investment managers in accordance with the requirements of the Central Bank.</w:t>
      </w:r>
    </w:p>
    <w:p w14:paraId="287EE321"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6DC2CE0"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collective investment schemes and managed accounts referred to above are selected upon the completion of a thorough due diligence process, which will include both qualitative (i.e analysis that uses subjective judgment based on unquantifiable information, such as management expertise, industry cycles, strength of research and development, and the staff's skillset) and quantitative analyses.(i.e focusing on the historic performance and other quantifiable metrics).</w:t>
      </w:r>
    </w:p>
    <w:p w14:paraId="67B25694"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FB0575D"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directly in global currencies for the purposes of diversification.</w:t>
      </w:r>
    </w:p>
    <w:p w14:paraId="6B145E54"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773AAAA"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also from time to time hold ancillary liquid financial assets including debt securities (e.g. government, municipal, corporate </w:t>
      </w:r>
      <w:r>
        <w:rPr>
          <w:rFonts w:ascii="Arial" w:eastAsia="Arial" w:hAnsi="Arial" w:cs="Arial"/>
          <w:color w:val="000000"/>
          <w:sz w:val="16"/>
          <w:szCs w:val="16"/>
        </w:rPr>
        <w:t>and securitized debt and money market instruments) in appropriate circumstances. Such debt securities may be issued by governments or corporations and will have a credit rating or an implied credit rating of investment grade. The Fund may also invest up to 10% in debt securities which are unrated.</w:t>
      </w:r>
    </w:p>
    <w:p w14:paraId="7B66EFD4"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70BA16F"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43CFE42"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invest on a global basis and can invest in both developed and developing markets. The Fund may invest more than 20% of its net assets in securities listed or traded in, or issuers domiciled in, emerging markets. The Fund is actively managed in reference to MSCI All Coutnry World Index by virtue of the fact that the investment objective of the Fund is to outperform.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limited. The Fund will not use financial derivative instruments. Any income arising from the Fund will be reinvested and it is not intended that the Fund will pay dividends. The Fund employs a long-term investment approach and is suitable for investors who have a medium to high risk profile.</w:t>
      </w:r>
    </w:p>
    <w:p w14:paraId="42F30923"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0B2516B"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Recommendation: The Fund may not be suitable for investors who plan to withdraw their money within 5 years.</w:t>
      </w:r>
    </w:p>
    <w:p w14:paraId="53EA3735"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5B54D514"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every Thursday.</w:t>
      </w:r>
    </w:p>
    <w:p w14:paraId="607F49FD"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0E465411" w14:textId="77777777" w:rsidR="00212F65" w:rsidRDefault="00AE3C9C">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objective and policy" section of the Supplement for further information.</w:t>
      </w:r>
    </w:p>
    <w:p w14:paraId="3B13CBE5" w14:textId="77777777" w:rsidR="00212F65" w:rsidRDefault="00212F65">
      <w:pPr>
        <w:autoSpaceDE w:val="0"/>
        <w:autoSpaceDN w:val="0"/>
        <w:jc w:val="both"/>
        <w:rPr>
          <w:rFonts w:ascii="Arial" w:eastAsia="Arial" w:hAnsi="Arial" w:cs="Arial"/>
          <w:color w:val="000000"/>
          <w:sz w:val="16"/>
          <w:szCs w:val="16"/>
        </w:rPr>
        <w:sectPr w:rsidR="00212F65">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12F65" w14:paraId="6EA5F5F7" w14:textId="77777777">
        <w:trPr>
          <w:trHeight w:hRule="exact" w:val="283"/>
        </w:trPr>
        <w:tc>
          <w:tcPr>
            <w:tcW w:w="10544" w:type="dxa"/>
            <w:shd w:val="clear" w:color="auto" w:fill="auto"/>
            <w:noWrap/>
            <w:tcMar>
              <w:left w:w="20" w:type="dxa"/>
              <w:right w:w="20" w:type="dxa"/>
            </w:tcMar>
          </w:tcPr>
          <w:p w14:paraId="0181E11E" w14:textId="77777777" w:rsidR="00212F65" w:rsidRDefault="00212F65">
            <w:pPr>
              <w:autoSpaceDE w:val="0"/>
              <w:autoSpaceDN w:val="0"/>
              <w:rPr>
                <w:rFonts w:ascii="Arial" w:eastAsia="Arial" w:hAnsi="Arial" w:cs="Arial"/>
                <w:color w:val="000000"/>
                <w:sz w:val="18"/>
              </w:rPr>
            </w:pPr>
          </w:p>
        </w:tc>
      </w:tr>
    </w:tbl>
    <w:p w14:paraId="6FD9FC2A"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1284267B"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8ABD12B" w14:textId="77777777" w:rsidR="00212F65" w:rsidRDefault="00AE3C9C">
            <w:pPr>
              <w:keepNext/>
              <w:autoSpaceDE w:val="0"/>
              <w:autoSpaceDN w:val="0"/>
            </w:pPr>
            <w:r>
              <w:rPr>
                <w:rFonts w:ascii="Arial" w:eastAsia="Arial" w:hAnsi="Arial" w:cs="Arial"/>
                <w:b/>
                <w:color w:val="000000"/>
                <w:sz w:val="18"/>
              </w:rPr>
              <w:t>Risk and Reward Profile of the Fund</w:t>
            </w:r>
          </w:p>
        </w:tc>
      </w:tr>
      <w:tr w:rsidR="00212F65" w14:paraId="095AB9C4" w14:textId="77777777">
        <w:trPr>
          <w:trHeight w:hRule="exact" w:val="226"/>
        </w:trPr>
        <w:tc>
          <w:tcPr>
            <w:tcW w:w="10544" w:type="dxa"/>
            <w:shd w:val="clear" w:color="auto" w:fill="auto"/>
            <w:noWrap/>
            <w:tcMar>
              <w:left w:w="20" w:type="dxa"/>
              <w:right w:w="20" w:type="dxa"/>
            </w:tcMar>
          </w:tcPr>
          <w:p w14:paraId="72C4F793" w14:textId="77777777" w:rsidR="00212F65" w:rsidRDefault="00212F65">
            <w:pPr>
              <w:autoSpaceDE w:val="0"/>
              <w:autoSpaceDN w:val="0"/>
              <w:rPr>
                <w:rFonts w:ascii="Arial" w:eastAsia="Arial" w:hAnsi="Arial" w:cs="Arial"/>
                <w:color w:val="000000"/>
                <w:sz w:val="18"/>
              </w:rPr>
            </w:pPr>
          </w:p>
        </w:tc>
      </w:tr>
    </w:tbl>
    <w:p w14:paraId="78955550" w14:textId="77777777" w:rsidR="00212F65" w:rsidRDefault="00212F6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12F65" w14:paraId="2DF4D62C"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212F65" w14:paraId="7FD69297"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13F6D859" w14:textId="77777777" w:rsidR="00212F65" w:rsidRDefault="00AE3C9C">
                  <w:pPr>
                    <w:keepLines/>
                    <w:autoSpaceDE w:val="0"/>
                    <w:autoSpaceDN w:val="0"/>
                    <w:jc w:val="center"/>
                  </w:pPr>
                  <w:r>
                    <w:rPr>
                      <w:rFonts w:ascii="Arial" w:eastAsia="Arial" w:hAnsi="Arial" w:cs="Arial"/>
                      <w:noProof/>
                      <w:color w:val="000000"/>
                      <w:sz w:val="16"/>
                    </w:rPr>
                    <w:drawing>
                      <wp:inline distT="0" distB="0" distL="0" distR="0" wp14:anchorId="4713E913" wp14:editId="61E16B5F">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212F65" w14:paraId="49B70B9D" w14:textId="77777777" w:rsidTr="001D6FD9">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65C296E6" w14:textId="77777777" w:rsidR="00212F65" w:rsidRDefault="00AE3C9C">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523F30F" w14:textId="77777777" w:rsidR="00212F65" w:rsidRDefault="00AE3C9C">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F3069CD" w14:textId="77777777" w:rsidR="00212F65" w:rsidRDefault="00AE3C9C">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7F57D847" w14:textId="77777777" w:rsidR="00212F65" w:rsidRDefault="00AE3C9C">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tcMar>
                    <w:left w:w="56" w:type="dxa"/>
                    <w:right w:w="56" w:type="dxa"/>
                  </w:tcMar>
                  <w:vAlign w:val="center"/>
                </w:tcPr>
                <w:p w14:paraId="681110E7" w14:textId="77777777" w:rsidR="00212F65" w:rsidRPr="001D6FD9" w:rsidRDefault="00AE3C9C">
                  <w:pPr>
                    <w:autoSpaceDE w:val="0"/>
                    <w:autoSpaceDN w:val="0"/>
                    <w:jc w:val="center"/>
                    <w:rPr>
                      <w:bCs/>
                    </w:rPr>
                  </w:pPr>
                  <w:r w:rsidRPr="001D6FD9">
                    <w:rPr>
                      <w:rFonts w:ascii="Arial" w:eastAsia="Arial" w:hAnsi="Arial" w:cs="Arial"/>
                      <w:bCs/>
                      <w:color w:val="000000"/>
                    </w:rPr>
                    <w:t>5</w:t>
                  </w:r>
                </w:p>
              </w:tc>
              <w:tc>
                <w:tcPr>
                  <w:tcW w:w="7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tcMar>
                    <w:left w:w="56" w:type="dxa"/>
                    <w:right w:w="56" w:type="dxa"/>
                  </w:tcMar>
                  <w:vAlign w:val="center"/>
                </w:tcPr>
                <w:p w14:paraId="71C26A85" w14:textId="77777777" w:rsidR="00212F65" w:rsidRPr="001D6FD9" w:rsidRDefault="00AE3C9C">
                  <w:pPr>
                    <w:autoSpaceDE w:val="0"/>
                    <w:autoSpaceDN w:val="0"/>
                    <w:jc w:val="center"/>
                    <w:rPr>
                      <w:b/>
                      <w:bCs/>
                    </w:rPr>
                  </w:pPr>
                  <w:r w:rsidRPr="001D6FD9">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A7D7324" w14:textId="77777777" w:rsidR="00212F65" w:rsidRDefault="00AE3C9C">
                  <w:pPr>
                    <w:autoSpaceDE w:val="0"/>
                    <w:autoSpaceDN w:val="0"/>
                    <w:jc w:val="center"/>
                  </w:pPr>
                  <w:r>
                    <w:rPr>
                      <w:rFonts w:ascii="Arial" w:eastAsia="Arial" w:hAnsi="Arial" w:cs="Arial"/>
                      <w:color w:val="C0C0C0"/>
                    </w:rPr>
                    <w:t>7</w:t>
                  </w:r>
                </w:p>
              </w:tc>
            </w:tr>
            <w:tr w:rsidR="00212F65" w14:paraId="14232114" w14:textId="77777777">
              <w:tc>
                <w:tcPr>
                  <w:tcW w:w="4984" w:type="dxa"/>
                  <w:gridSpan w:val="7"/>
                  <w:shd w:val="clear" w:color="auto" w:fill="auto"/>
                  <w:noWrap/>
                  <w:tcMar>
                    <w:left w:w="56" w:type="dxa"/>
                  </w:tcMar>
                  <w:vAlign w:val="center"/>
                </w:tcPr>
                <w:p w14:paraId="0E455038" w14:textId="77777777" w:rsidR="00212F65" w:rsidRDefault="00212F65">
                  <w:pPr>
                    <w:autoSpaceDE w:val="0"/>
                    <w:autoSpaceDN w:val="0"/>
                    <w:jc w:val="both"/>
                    <w:rPr>
                      <w:rFonts w:ascii="Arial" w:eastAsia="Arial" w:hAnsi="Arial" w:cs="Arial"/>
                      <w:color w:val="C0C0C0"/>
                      <w:sz w:val="16"/>
                    </w:rPr>
                  </w:pPr>
                </w:p>
              </w:tc>
            </w:tr>
            <w:tr w:rsidR="00212F65" w14:paraId="24C1A099" w14:textId="77777777">
              <w:tc>
                <w:tcPr>
                  <w:tcW w:w="4984" w:type="dxa"/>
                  <w:gridSpan w:val="7"/>
                  <w:shd w:val="clear" w:color="auto" w:fill="auto"/>
                  <w:noWrap/>
                  <w:tcMar>
                    <w:left w:w="56" w:type="dxa"/>
                  </w:tcMar>
                  <w:vAlign w:val="center"/>
                </w:tcPr>
                <w:p w14:paraId="22B8C09A" w14:textId="77777777" w:rsidR="00212F65" w:rsidRDefault="00AE3C9C">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333AE074" w14:textId="77777777" w:rsidR="00212F65" w:rsidRDefault="00212F6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12F65" w14:paraId="41EE84D7" w14:textId="77777777">
              <w:trPr>
                <w:trHeight w:hRule="exact" w:val="170"/>
              </w:trPr>
              <w:tc>
                <w:tcPr>
                  <w:tcW w:w="510" w:type="dxa"/>
                  <w:shd w:val="clear" w:color="auto" w:fill="auto"/>
                  <w:noWrap/>
                  <w:tcMar>
                    <w:left w:w="20" w:type="dxa"/>
                    <w:right w:w="20" w:type="dxa"/>
                  </w:tcMar>
                </w:tcPr>
                <w:p w14:paraId="74C197EE" w14:textId="77777777" w:rsidR="00212F65" w:rsidRDefault="00212F65">
                  <w:pPr>
                    <w:autoSpaceDE w:val="0"/>
                    <w:autoSpaceDN w:val="0"/>
                    <w:rPr>
                      <w:rFonts w:ascii="Arial" w:eastAsia="Arial" w:hAnsi="Arial" w:cs="Arial"/>
                      <w:color w:val="000000"/>
                      <w:sz w:val="18"/>
                    </w:rPr>
                  </w:pPr>
                </w:p>
              </w:tc>
            </w:tr>
          </w:tbl>
          <w:p w14:paraId="766AFDD9" w14:textId="77777777" w:rsidR="00212F65" w:rsidRDefault="00212F65">
            <w:pPr>
              <w:keepNext/>
              <w:autoSpaceDE w:val="0"/>
              <w:autoSpaceDN w:val="0"/>
              <w:rPr>
                <w:vanish/>
                <w:sz w:val="2"/>
                <w:szCs w:val="2"/>
              </w:rPr>
            </w:pPr>
          </w:p>
        </w:tc>
        <w:tc>
          <w:tcPr>
            <w:tcW w:w="5017" w:type="dxa"/>
          </w:tcPr>
          <w:p w14:paraId="0199748F"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771935D6"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Fund's fixed income and cash investments have the risk that a borrower will not honour its obligations and this will result in losses for the investor.</w:t>
            </w:r>
          </w:p>
          <w:p w14:paraId="1D33532C"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units of collective investment schemes, and the value of these units can be negatively affected by changes in the fund or its industry or the economy in which it operates.</w:t>
            </w:r>
          </w:p>
          <w:p w14:paraId="550A8ABC"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107940A4"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16B18E1A"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 / Third Parties</w:t>
            </w:r>
            <w:r>
              <w:rPr>
                <w:rFonts w:ascii="Arial" w:eastAsia="Arial" w:hAnsi="Arial" w:cs="Arial"/>
                <w:color w:val="000000"/>
                <w:sz w:val="16"/>
                <w:szCs w:val="16"/>
              </w:rPr>
              <w:t xml:space="preserve"> - investments in other funds have direct and indirect dependence on other service providers. The Fund may suffer disruption or loss in the event of their failure.</w:t>
            </w:r>
          </w:p>
          <w:p w14:paraId="34A5299A" w14:textId="77777777" w:rsidR="00212F65" w:rsidRDefault="00AE3C9C">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 (Fund of Funds)</w:t>
            </w:r>
            <w:r>
              <w:rPr>
                <w:rFonts w:ascii="Arial" w:eastAsia="Arial" w:hAnsi="Arial" w:cs="Arial"/>
                <w:color w:val="000000"/>
                <w:sz w:val="16"/>
                <w:szCs w:val="16"/>
              </w:rPr>
              <w:t xml:space="preserve"> - investments in other funds are subject to the liquidity of those underlying funds. If underlying funds suspend or defer payment of redemption proceeds, the funds ability to meet redemption requests may also be affected.</w:t>
            </w:r>
          </w:p>
          <w:p w14:paraId="3F39CE97"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27B741EF"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3C6947D0" w14:textId="77777777" w:rsidR="00212F65" w:rsidRDefault="00212F65">
            <w:pPr>
              <w:keepNext/>
              <w:autoSpaceDE w:val="0"/>
              <w:autoSpaceDN w:val="0"/>
              <w:rPr>
                <w:vanish/>
                <w:sz w:val="2"/>
                <w:szCs w:val="2"/>
              </w:rPr>
            </w:pPr>
          </w:p>
        </w:tc>
      </w:tr>
    </w:tbl>
    <w:p w14:paraId="24C92722" w14:textId="77777777" w:rsidR="00212F65" w:rsidRDefault="00212F65">
      <w:pPr>
        <w:autoSpaceDE w:val="0"/>
        <w:autoSpaceDN w:val="0"/>
        <w:rPr>
          <w:sz w:val="2"/>
          <w:szCs w:val="2"/>
        </w:rPr>
        <w:sectPr w:rsidR="00212F65">
          <w:type w:val="continuous"/>
          <w:pgSz w:w="11905" w:h="16837"/>
          <w:pgMar w:top="0" w:right="793" w:bottom="0" w:left="566" w:header="0" w:footer="0" w:gutter="0"/>
          <w:cols w:space="0"/>
        </w:sectPr>
      </w:pPr>
    </w:p>
    <w:p w14:paraId="53EF1253" w14:textId="77777777" w:rsidR="00212F65" w:rsidRDefault="00212F65">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0BCCAB34"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59EE53A" w14:textId="77777777" w:rsidR="00212F65" w:rsidRDefault="00AE3C9C">
            <w:pPr>
              <w:keepNext/>
              <w:autoSpaceDE w:val="0"/>
              <w:autoSpaceDN w:val="0"/>
            </w:pPr>
            <w:r>
              <w:rPr>
                <w:rFonts w:ascii="Arial" w:eastAsia="Arial" w:hAnsi="Arial" w:cs="Arial"/>
                <w:b/>
                <w:color w:val="000000"/>
                <w:sz w:val="18"/>
              </w:rPr>
              <w:t>Charges for the Fund</w:t>
            </w:r>
          </w:p>
        </w:tc>
      </w:tr>
      <w:tr w:rsidR="00212F65" w14:paraId="70CFDE32" w14:textId="77777777">
        <w:trPr>
          <w:trHeight w:hRule="exact" w:val="226"/>
        </w:trPr>
        <w:tc>
          <w:tcPr>
            <w:tcW w:w="10544" w:type="dxa"/>
            <w:shd w:val="clear" w:color="auto" w:fill="auto"/>
            <w:noWrap/>
            <w:tcMar>
              <w:left w:w="20" w:type="dxa"/>
              <w:right w:w="20" w:type="dxa"/>
            </w:tcMar>
          </w:tcPr>
          <w:p w14:paraId="45D0A828" w14:textId="77777777" w:rsidR="00212F65" w:rsidRDefault="00212F65">
            <w:pPr>
              <w:autoSpaceDE w:val="0"/>
              <w:autoSpaceDN w:val="0"/>
              <w:rPr>
                <w:rFonts w:ascii="Arial" w:eastAsia="Arial" w:hAnsi="Arial" w:cs="Arial"/>
                <w:color w:val="000000"/>
                <w:sz w:val="18"/>
              </w:rPr>
            </w:pPr>
          </w:p>
        </w:tc>
      </w:tr>
    </w:tbl>
    <w:p w14:paraId="718C11EE"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74319F85" w14:textId="77777777">
        <w:tc>
          <w:tcPr>
            <w:tcW w:w="10544" w:type="dxa"/>
            <w:shd w:val="clear" w:color="auto" w:fill="auto"/>
            <w:noWrap/>
            <w:tcMar>
              <w:left w:w="56" w:type="dxa"/>
              <w:right w:w="56" w:type="dxa"/>
            </w:tcMar>
            <w:vAlign w:val="center"/>
          </w:tcPr>
          <w:p w14:paraId="2598DBB6" w14:textId="77777777" w:rsidR="00212F65" w:rsidRDefault="00AE3C9C">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212F65" w14:paraId="542396C2" w14:textId="77777777">
        <w:trPr>
          <w:trHeight w:hRule="exact" w:val="170"/>
        </w:trPr>
        <w:tc>
          <w:tcPr>
            <w:tcW w:w="10544" w:type="dxa"/>
            <w:shd w:val="clear" w:color="auto" w:fill="auto"/>
            <w:noWrap/>
            <w:tcMar>
              <w:left w:w="56" w:type="dxa"/>
              <w:right w:w="56" w:type="dxa"/>
            </w:tcMar>
            <w:vAlign w:val="center"/>
          </w:tcPr>
          <w:p w14:paraId="2EC19951" w14:textId="77777777" w:rsidR="00212F65" w:rsidRDefault="00212F65">
            <w:pPr>
              <w:autoSpaceDE w:val="0"/>
              <w:autoSpaceDN w:val="0"/>
              <w:jc w:val="both"/>
              <w:rPr>
                <w:rFonts w:ascii="Arial" w:eastAsia="Arial" w:hAnsi="Arial" w:cs="Arial"/>
                <w:color w:val="000000"/>
                <w:sz w:val="16"/>
              </w:rPr>
            </w:pPr>
          </w:p>
        </w:tc>
      </w:tr>
    </w:tbl>
    <w:p w14:paraId="745B849D" w14:textId="77777777" w:rsidR="00212F65" w:rsidRDefault="00212F6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12F65" w14:paraId="7FF73989"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212F65" w14:paraId="4913032B"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75FB69B4" w14:textId="77777777" w:rsidR="00212F65" w:rsidRDefault="00AE3C9C">
                  <w:pPr>
                    <w:autoSpaceDE w:val="0"/>
                    <w:autoSpaceDN w:val="0"/>
                    <w:spacing w:after="80"/>
                    <w:jc w:val="both"/>
                  </w:pPr>
                  <w:r>
                    <w:rPr>
                      <w:rFonts w:ascii="Arial" w:eastAsia="Arial" w:hAnsi="Arial" w:cs="Arial"/>
                      <w:b/>
                      <w:color w:val="000000"/>
                      <w:sz w:val="16"/>
                    </w:rPr>
                    <w:t>One-off charges taken before or after you invest</w:t>
                  </w:r>
                </w:p>
              </w:tc>
            </w:tr>
            <w:tr w:rsidR="00212F65" w14:paraId="6297D804"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96D6E4C" w14:textId="77777777" w:rsidR="00212F65" w:rsidRDefault="00AE3C9C">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762D461A" w14:textId="77777777" w:rsidR="00212F65" w:rsidRDefault="00AE3C9C">
                  <w:pPr>
                    <w:autoSpaceDE w:val="0"/>
                    <w:autoSpaceDN w:val="0"/>
                    <w:jc w:val="both"/>
                  </w:pPr>
                  <w:r>
                    <w:rPr>
                      <w:rFonts w:ascii="Arial" w:eastAsia="Arial" w:hAnsi="Arial" w:cs="Arial"/>
                      <w:color w:val="000000"/>
                      <w:sz w:val="16"/>
                    </w:rPr>
                    <w:t>5.00%</w:t>
                  </w:r>
                </w:p>
              </w:tc>
              <w:tc>
                <w:tcPr>
                  <w:tcW w:w="2437" w:type="dxa"/>
                  <w:tcBorders>
                    <w:right w:val="single" w:sz="4" w:space="0" w:color="000000"/>
                  </w:tcBorders>
                  <w:shd w:val="clear" w:color="auto" w:fill="auto"/>
                  <w:noWrap/>
                  <w:tcMar>
                    <w:left w:w="56" w:type="dxa"/>
                    <w:right w:w="56" w:type="dxa"/>
                  </w:tcMar>
                  <w:vAlign w:val="center"/>
                </w:tcPr>
                <w:p w14:paraId="41E7543F" w14:textId="77777777" w:rsidR="00212F65" w:rsidRDefault="00212F65">
                  <w:pPr>
                    <w:autoSpaceDE w:val="0"/>
                    <w:autoSpaceDN w:val="0"/>
                    <w:jc w:val="both"/>
                    <w:rPr>
                      <w:rFonts w:ascii="Arial" w:eastAsia="Arial" w:hAnsi="Arial" w:cs="Arial"/>
                      <w:color w:val="000000"/>
                      <w:sz w:val="16"/>
                    </w:rPr>
                  </w:pPr>
                </w:p>
              </w:tc>
            </w:tr>
            <w:tr w:rsidR="00212F65" w14:paraId="0C9C1C2E"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646F734" w14:textId="77777777" w:rsidR="00212F65" w:rsidRDefault="00AE3C9C">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1B86795C" w14:textId="77777777" w:rsidR="00212F65" w:rsidRDefault="00AE3C9C">
                  <w:pPr>
                    <w:autoSpaceDE w:val="0"/>
                    <w:autoSpaceDN w:val="0"/>
                    <w:jc w:val="both"/>
                  </w:pPr>
                  <w:r>
                    <w:rPr>
                      <w:rFonts w:ascii="Arial" w:eastAsia="Arial" w:hAnsi="Arial" w:cs="Arial"/>
                      <w:color w:val="000000"/>
                      <w:sz w:val="16"/>
                    </w:rPr>
                    <w:t>3.00%</w:t>
                  </w:r>
                </w:p>
              </w:tc>
              <w:tc>
                <w:tcPr>
                  <w:tcW w:w="2437" w:type="dxa"/>
                  <w:tcBorders>
                    <w:right w:val="single" w:sz="4" w:space="0" w:color="000000"/>
                  </w:tcBorders>
                  <w:shd w:val="clear" w:color="auto" w:fill="auto"/>
                  <w:noWrap/>
                  <w:tcMar>
                    <w:left w:w="56" w:type="dxa"/>
                    <w:right w:w="56" w:type="dxa"/>
                  </w:tcMar>
                  <w:vAlign w:val="center"/>
                </w:tcPr>
                <w:p w14:paraId="10EA6E74" w14:textId="77777777" w:rsidR="00212F65" w:rsidRDefault="00212F65">
                  <w:pPr>
                    <w:autoSpaceDE w:val="0"/>
                    <w:autoSpaceDN w:val="0"/>
                    <w:jc w:val="both"/>
                    <w:rPr>
                      <w:rFonts w:ascii="Arial" w:eastAsia="Arial" w:hAnsi="Arial" w:cs="Arial"/>
                      <w:color w:val="000000"/>
                      <w:sz w:val="16"/>
                    </w:rPr>
                  </w:pPr>
                </w:p>
              </w:tc>
            </w:tr>
            <w:tr w:rsidR="00212F65" w14:paraId="0000493E"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5BF1C17D" w14:textId="77777777" w:rsidR="00212F65" w:rsidRDefault="00212F65">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6498BBC3" w14:textId="77777777" w:rsidR="00212F65" w:rsidRDefault="00212F65">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5268227F" w14:textId="77777777" w:rsidR="00212F65" w:rsidRDefault="00212F65">
                  <w:pPr>
                    <w:autoSpaceDE w:val="0"/>
                    <w:autoSpaceDN w:val="0"/>
                    <w:jc w:val="both"/>
                    <w:rPr>
                      <w:rFonts w:ascii="Arial" w:eastAsia="Arial" w:hAnsi="Arial" w:cs="Arial"/>
                      <w:color w:val="000000"/>
                      <w:sz w:val="16"/>
                    </w:rPr>
                  </w:pPr>
                </w:p>
              </w:tc>
            </w:tr>
            <w:tr w:rsidR="00212F65" w14:paraId="62806CCF"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2606809A" w14:textId="77777777" w:rsidR="00212F65" w:rsidRDefault="00AE3C9C">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212F65" w14:paraId="35A8844F"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73DB3928" w14:textId="77777777" w:rsidR="00212F65" w:rsidRDefault="00212F65">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3C2CAC51" w14:textId="77777777" w:rsidR="00212F65" w:rsidRDefault="00212F65">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8DB71C6" w14:textId="77777777" w:rsidR="00212F65" w:rsidRDefault="00212F65">
                  <w:pPr>
                    <w:autoSpaceDE w:val="0"/>
                    <w:autoSpaceDN w:val="0"/>
                    <w:jc w:val="both"/>
                    <w:rPr>
                      <w:rFonts w:ascii="Arial" w:eastAsia="Arial" w:hAnsi="Arial" w:cs="Arial"/>
                      <w:color w:val="000000"/>
                      <w:sz w:val="16"/>
                    </w:rPr>
                  </w:pPr>
                </w:p>
              </w:tc>
            </w:tr>
            <w:tr w:rsidR="00212F65" w14:paraId="227065A7"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CE89A33" w14:textId="77777777" w:rsidR="00212F65" w:rsidRDefault="00AE3C9C">
                  <w:pPr>
                    <w:autoSpaceDE w:val="0"/>
                    <w:autoSpaceDN w:val="0"/>
                    <w:spacing w:before="80" w:after="80"/>
                    <w:jc w:val="both"/>
                  </w:pPr>
                  <w:r>
                    <w:rPr>
                      <w:rFonts w:ascii="Arial" w:eastAsia="Arial" w:hAnsi="Arial" w:cs="Arial"/>
                      <w:b/>
                      <w:color w:val="000000"/>
                      <w:sz w:val="16"/>
                    </w:rPr>
                    <w:t>Charges taken from the Fund over a year</w:t>
                  </w:r>
                </w:p>
              </w:tc>
            </w:tr>
            <w:tr w:rsidR="00212F65" w14:paraId="523D8FBF"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4CF88A50" w14:textId="77777777" w:rsidR="00212F65" w:rsidRDefault="00AE3C9C">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75DF0650" w14:textId="0934F632" w:rsidR="00212F65" w:rsidRDefault="00AE3C9C">
                  <w:pPr>
                    <w:autoSpaceDE w:val="0"/>
                    <w:autoSpaceDN w:val="0"/>
                    <w:jc w:val="both"/>
                  </w:pPr>
                  <w:r>
                    <w:rPr>
                      <w:rFonts w:ascii="Arial" w:eastAsia="Arial" w:hAnsi="Arial" w:cs="Arial"/>
                      <w:color w:val="000000"/>
                      <w:sz w:val="16"/>
                    </w:rPr>
                    <w:t>1.20%</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08021072" w14:textId="77777777" w:rsidR="00212F65" w:rsidRDefault="00212F65">
                  <w:pPr>
                    <w:autoSpaceDE w:val="0"/>
                    <w:autoSpaceDN w:val="0"/>
                    <w:jc w:val="both"/>
                    <w:rPr>
                      <w:rFonts w:ascii="Arial" w:eastAsia="Arial" w:hAnsi="Arial" w:cs="Arial"/>
                      <w:color w:val="000000"/>
                      <w:sz w:val="16"/>
                    </w:rPr>
                  </w:pPr>
                </w:p>
              </w:tc>
            </w:tr>
            <w:tr w:rsidR="00212F65" w14:paraId="5A9F753A"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1EC08448" w14:textId="77777777" w:rsidR="00212F65" w:rsidRDefault="00AE3C9C">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212F65" w14:paraId="0AE60D80"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32611F51" w14:textId="77777777" w:rsidR="00212F65" w:rsidRDefault="00AE3C9C">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52FB39D2" w14:textId="77777777" w:rsidR="00212F65" w:rsidRDefault="00AE3C9C">
                  <w:pPr>
                    <w:autoSpaceDE w:val="0"/>
                    <w:autoSpaceDN w:val="0"/>
                  </w:pPr>
                  <w:r>
                    <w:rPr>
                      <w:rFonts w:ascii="Arial" w:eastAsia="Arial" w:hAnsi="Arial" w:cs="Arial"/>
                      <w:color w:val="000000"/>
                      <w:sz w:val="16"/>
                    </w:rPr>
                    <w:t>0.00%</w:t>
                  </w:r>
                </w:p>
              </w:tc>
            </w:tr>
          </w:tbl>
          <w:p w14:paraId="36A0A3AB" w14:textId="77777777" w:rsidR="00212F65" w:rsidRDefault="00212F6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12F65" w14:paraId="46C6C87B" w14:textId="77777777">
              <w:trPr>
                <w:trHeight w:hRule="exact" w:val="170"/>
              </w:trPr>
              <w:tc>
                <w:tcPr>
                  <w:tcW w:w="510" w:type="dxa"/>
                  <w:shd w:val="clear" w:color="auto" w:fill="auto"/>
                  <w:noWrap/>
                  <w:tcMar>
                    <w:left w:w="20" w:type="dxa"/>
                    <w:right w:w="20" w:type="dxa"/>
                  </w:tcMar>
                </w:tcPr>
                <w:p w14:paraId="4BB3AB7D" w14:textId="77777777" w:rsidR="00212F65" w:rsidRDefault="00212F65">
                  <w:pPr>
                    <w:autoSpaceDE w:val="0"/>
                    <w:autoSpaceDN w:val="0"/>
                    <w:rPr>
                      <w:rFonts w:ascii="Arial" w:eastAsia="Arial" w:hAnsi="Arial" w:cs="Arial"/>
                      <w:color w:val="000000"/>
                      <w:sz w:val="18"/>
                    </w:rPr>
                  </w:pPr>
                </w:p>
              </w:tc>
            </w:tr>
          </w:tbl>
          <w:p w14:paraId="5305EA01" w14:textId="77777777" w:rsidR="00212F65" w:rsidRDefault="00212F65">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212F65" w14:paraId="068C80AA" w14:textId="77777777">
              <w:tc>
                <w:tcPr>
                  <w:tcW w:w="5017" w:type="dxa"/>
                  <w:shd w:val="clear" w:color="auto" w:fill="auto"/>
                  <w:noWrap/>
                  <w:tcMar>
                    <w:left w:w="56" w:type="dxa"/>
                    <w:right w:w="56" w:type="dxa"/>
                  </w:tcMar>
                  <w:vAlign w:val="center"/>
                </w:tcPr>
                <w:p w14:paraId="24EF019B" w14:textId="77777777" w:rsidR="00212F65" w:rsidRDefault="00AE3C9C">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001D579A" w14:textId="77777777" w:rsidR="00212F65" w:rsidRDefault="00AE3C9C">
                  <w:pPr>
                    <w:keepLines/>
                    <w:autoSpaceDE w:val="0"/>
                    <w:autoSpaceDN w:val="0"/>
                    <w:jc w:val="both"/>
                  </w:pPr>
                  <w:r>
                    <w:rPr>
                      <w:rFonts w:ascii="Arial" w:eastAsia="Arial" w:hAnsi="Arial" w:cs="Arial"/>
                      <w:color w:val="000000"/>
                      <w:sz w:val="16"/>
                    </w:rPr>
                    <w:t> </w:t>
                  </w:r>
                </w:p>
                <w:p w14:paraId="00B65C95" w14:textId="77777777" w:rsidR="00212F65" w:rsidRDefault="00AE3C9C">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6F0A64FE" w14:textId="77777777" w:rsidR="00212F65" w:rsidRDefault="00AE3C9C">
                  <w:pPr>
                    <w:keepLines/>
                    <w:autoSpaceDE w:val="0"/>
                    <w:autoSpaceDN w:val="0"/>
                    <w:jc w:val="both"/>
                  </w:pPr>
                  <w:r>
                    <w:rPr>
                      <w:rFonts w:ascii="Arial" w:eastAsia="Arial" w:hAnsi="Arial" w:cs="Arial"/>
                      <w:color w:val="000000"/>
                      <w:sz w:val="16"/>
                    </w:rPr>
                    <w:t> </w:t>
                  </w:r>
                </w:p>
                <w:p w14:paraId="7CD15A92" w14:textId="77777777" w:rsidR="00212F65" w:rsidRDefault="00AE3C9C">
                  <w:pPr>
                    <w:keepLines/>
                    <w:autoSpaceDE w:val="0"/>
                    <w:autoSpaceDN w:val="0"/>
                    <w:jc w:val="both"/>
                  </w:pPr>
                  <w:r>
                    <w:rPr>
                      <w:rFonts w:ascii="Arial" w:eastAsia="Arial" w:hAnsi="Arial" w:cs="Arial"/>
                      <w:color w:val="000000"/>
                      <w:sz w:val="16"/>
                    </w:rPr>
                    <w:t>This figure may vary from year to year. It excludes portfolio transaction costs, except in the case of an entry or exit charge paid by the Fund when buying or selling units in another UCITS or collective investment undertaking.</w:t>
                  </w:r>
                </w:p>
              </w:tc>
            </w:tr>
          </w:tbl>
          <w:p w14:paraId="5730A358" w14:textId="77777777" w:rsidR="00212F65" w:rsidRDefault="00212F65">
            <w:pPr>
              <w:keepNext/>
              <w:autoSpaceDE w:val="0"/>
              <w:autoSpaceDN w:val="0"/>
              <w:rPr>
                <w:vanish/>
                <w:sz w:val="2"/>
                <w:szCs w:val="2"/>
              </w:rPr>
            </w:pPr>
          </w:p>
        </w:tc>
      </w:tr>
    </w:tbl>
    <w:p w14:paraId="4A67436A"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5F58B3D8" w14:textId="77777777">
        <w:tc>
          <w:tcPr>
            <w:tcW w:w="10544" w:type="dxa"/>
            <w:shd w:val="clear" w:color="auto" w:fill="auto"/>
            <w:noWrap/>
            <w:tcMar>
              <w:left w:w="56" w:type="dxa"/>
              <w:right w:w="56" w:type="dxa"/>
            </w:tcMar>
            <w:vAlign w:val="center"/>
          </w:tcPr>
          <w:p w14:paraId="76922314" w14:textId="77777777" w:rsidR="00212F65" w:rsidRDefault="00AE3C9C">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68F84FCA" w14:textId="77777777" w:rsidR="00212F65" w:rsidRDefault="00212F65">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12F65" w14:paraId="12EF94DA" w14:textId="77777777">
        <w:trPr>
          <w:trHeight w:hRule="exact" w:val="283"/>
        </w:trPr>
        <w:tc>
          <w:tcPr>
            <w:tcW w:w="10544" w:type="dxa"/>
            <w:shd w:val="clear" w:color="auto" w:fill="auto"/>
            <w:noWrap/>
            <w:tcMar>
              <w:left w:w="20" w:type="dxa"/>
              <w:right w:w="20" w:type="dxa"/>
            </w:tcMar>
          </w:tcPr>
          <w:p w14:paraId="1919EEEC" w14:textId="77777777" w:rsidR="00212F65" w:rsidRDefault="00212F65">
            <w:pPr>
              <w:autoSpaceDE w:val="0"/>
              <w:autoSpaceDN w:val="0"/>
              <w:rPr>
                <w:rFonts w:ascii="Arial" w:eastAsia="Arial" w:hAnsi="Arial" w:cs="Arial"/>
                <w:color w:val="000000"/>
                <w:sz w:val="18"/>
              </w:rPr>
            </w:pPr>
          </w:p>
        </w:tc>
      </w:tr>
    </w:tbl>
    <w:p w14:paraId="0C2E1CC1"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2840148F"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011DC5F" w14:textId="77777777" w:rsidR="00212F65" w:rsidRDefault="00AE3C9C">
            <w:pPr>
              <w:keepNext/>
              <w:autoSpaceDE w:val="0"/>
              <w:autoSpaceDN w:val="0"/>
            </w:pPr>
            <w:r>
              <w:rPr>
                <w:rFonts w:ascii="Arial" w:eastAsia="Arial" w:hAnsi="Arial" w:cs="Arial"/>
                <w:b/>
                <w:color w:val="000000"/>
                <w:sz w:val="18"/>
              </w:rPr>
              <w:t>Past Performance</w:t>
            </w:r>
          </w:p>
        </w:tc>
      </w:tr>
      <w:tr w:rsidR="00212F65" w14:paraId="61CF5AF8" w14:textId="77777777">
        <w:trPr>
          <w:trHeight w:hRule="exact" w:val="226"/>
        </w:trPr>
        <w:tc>
          <w:tcPr>
            <w:tcW w:w="10544" w:type="dxa"/>
            <w:shd w:val="clear" w:color="auto" w:fill="auto"/>
            <w:noWrap/>
            <w:tcMar>
              <w:left w:w="20" w:type="dxa"/>
              <w:right w:w="20" w:type="dxa"/>
            </w:tcMar>
          </w:tcPr>
          <w:p w14:paraId="3D6188F1" w14:textId="77777777" w:rsidR="00212F65" w:rsidRDefault="00212F65">
            <w:pPr>
              <w:autoSpaceDE w:val="0"/>
              <w:autoSpaceDN w:val="0"/>
              <w:rPr>
                <w:rFonts w:ascii="Arial" w:eastAsia="Arial" w:hAnsi="Arial" w:cs="Arial"/>
                <w:color w:val="000000"/>
                <w:sz w:val="18"/>
              </w:rPr>
            </w:pPr>
          </w:p>
        </w:tc>
      </w:tr>
    </w:tbl>
    <w:p w14:paraId="6AE1B8A1" w14:textId="77777777" w:rsidR="00212F65" w:rsidRDefault="00212F65">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212F65" w14:paraId="3EB4A6BB" w14:textId="77777777">
        <w:trPr>
          <w:cantSplit/>
        </w:trPr>
        <w:tc>
          <w:tcPr>
            <w:tcW w:w="5017" w:type="dxa"/>
          </w:tcPr>
          <w:p w14:paraId="7074DED6" w14:textId="77777777" w:rsidR="00212F65" w:rsidRDefault="00AE3C9C">
            <w:pPr>
              <w:autoSpaceDE w:val="0"/>
              <w:autoSpaceDN w:val="0"/>
            </w:pPr>
            <w:r>
              <w:rPr>
                <w:noProof/>
              </w:rPr>
              <w:drawing>
                <wp:inline distT="0" distB="0" distL="0" distR="0" wp14:anchorId="1FE103D0" wp14:editId="165C1669">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5BCBD" w14:textId="77777777" w:rsidR="00212F65" w:rsidRDefault="00212F65">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212F65" w14:paraId="1B5AFCC2" w14:textId="77777777">
              <w:trPr>
                <w:trHeight w:hRule="exact" w:val="170"/>
              </w:trPr>
              <w:tc>
                <w:tcPr>
                  <w:tcW w:w="510" w:type="dxa"/>
                  <w:shd w:val="clear" w:color="auto" w:fill="auto"/>
                  <w:noWrap/>
                  <w:tcMar>
                    <w:left w:w="20" w:type="dxa"/>
                    <w:right w:w="20" w:type="dxa"/>
                  </w:tcMar>
                </w:tcPr>
                <w:p w14:paraId="61768862" w14:textId="77777777" w:rsidR="00212F65" w:rsidRDefault="00212F65">
                  <w:pPr>
                    <w:autoSpaceDE w:val="0"/>
                    <w:autoSpaceDN w:val="0"/>
                    <w:rPr>
                      <w:rFonts w:ascii="Arial" w:eastAsia="Arial" w:hAnsi="Arial" w:cs="Arial"/>
                      <w:color w:val="000000"/>
                      <w:sz w:val="18"/>
                    </w:rPr>
                  </w:pPr>
                </w:p>
              </w:tc>
            </w:tr>
          </w:tbl>
          <w:p w14:paraId="0C9F5A33" w14:textId="77777777" w:rsidR="00212F65" w:rsidRDefault="00212F65">
            <w:pPr>
              <w:keepNext/>
              <w:autoSpaceDE w:val="0"/>
              <w:autoSpaceDN w:val="0"/>
              <w:rPr>
                <w:vanish/>
                <w:sz w:val="2"/>
                <w:szCs w:val="2"/>
              </w:rPr>
            </w:pPr>
          </w:p>
        </w:tc>
        <w:tc>
          <w:tcPr>
            <w:tcW w:w="5017" w:type="dxa"/>
          </w:tcPr>
          <w:p w14:paraId="58540116"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29BA896D" w14:textId="77777777" w:rsidR="00212F65" w:rsidRDefault="00212F65">
            <w:pPr>
              <w:keepLines/>
              <w:autoSpaceDE w:val="0"/>
              <w:autoSpaceDN w:val="0"/>
              <w:spacing w:after="60"/>
              <w:jc w:val="both"/>
              <w:rPr>
                <w:rFonts w:ascii="Arial" w:eastAsia="Arial" w:hAnsi="Arial" w:cs="Arial"/>
                <w:color w:val="000000"/>
                <w:sz w:val="16"/>
                <w:szCs w:val="16"/>
              </w:rPr>
            </w:pPr>
          </w:p>
          <w:p w14:paraId="7436EBAB"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2019 and shares in this class were issued in 2019.</w:t>
            </w:r>
          </w:p>
          <w:p w14:paraId="79FBED7D"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50D2C3AE" w14:textId="77777777" w:rsidR="00212F65" w:rsidRDefault="00212F65">
            <w:pPr>
              <w:keepLines/>
              <w:autoSpaceDE w:val="0"/>
              <w:autoSpaceDN w:val="0"/>
              <w:spacing w:after="60"/>
              <w:jc w:val="both"/>
              <w:rPr>
                <w:rFonts w:ascii="Arial" w:eastAsia="Arial" w:hAnsi="Arial" w:cs="Arial"/>
                <w:color w:val="000000"/>
                <w:sz w:val="16"/>
                <w:szCs w:val="16"/>
              </w:rPr>
            </w:pPr>
          </w:p>
          <w:p w14:paraId="40A9BA03" w14:textId="77777777" w:rsidR="00212F65" w:rsidRDefault="00AE3C9C">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4A51C9B9" w14:textId="77777777" w:rsidR="00212F65" w:rsidRDefault="00212F65">
            <w:pPr>
              <w:keepNext/>
              <w:autoSpaceDE w:val="0"/>
              <w:autoSpaceDN w:val="0"/>
              <w:rPr>
                <w:vanish/>
                <w:sz w:val="2"/>
                <w:szCs w:val="2"/>
              </w:rPr>
            </w:pPr>
          </w:p>
        </w:tc>
      </w:tr>
    </w:tbl>
    <w:p w14:paraId="336D3CAF" w14:textId="77777777" w:rsidR="00212F65" w:rsidRDefault="00212F65">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212F65" w14:paraId="0ECEFB94" w14:textId="77777777">
        <w:trPr>
          <w:trHeight w:hRule="exact" w:val="283"/>
        </w:trPr>
        <w:tc>
          <w:tcPr>
            <w:tcW w:w="10544" w:type="dxa"/>
            <w:shd w:val="clear" w:color="auto" w:fill="auto"/>
            <w:noWrap/>
            <w:tcMar>
              <w:left w:w="20" w:type="dxa"/>
              <w:right w:w="20" w:type="dxa"/>
            </w:tcMar>
          </w:tcPr>
          <w:p w14:paraId="00BDDCDF" w14:textId="77777777" w:rsidR="00212F65" w:rsidRDefault="00212F65">
            <w:pPr>
              <w:autoSpaceDE w:val="0"/>
              <w:autoSpaceDN w:val="0"/>
              <w:rPr>
                <w:rFonts w:ascii="Arial" w:eastAsia="Arial" w:hAnsi="Arial" w:cs="Arial"/>
                <w:color w:val="000000"/>
                <w:sz w:val="18"/>
              </w:rPr>
            </w:pPr>
          </w:p>
        </w:tc>
      </w:tr>
    </w:tbl>
    <w:p w14:paraId="359628D2" w14:textId="77777777" w:rsidR="00212F65" w:rsidRDefault="00212F65">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212F65" w14:paraId="52D7FBCD"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5CA8CD47" w14:textId="77777777" w:rsidR="00212F65" w:rsidRDefault="00AE3C9C">
            <w:pPr>
              <w:keepNext/>
              <w:autoSpaceDE w:val="0"/>
              <w:autoSpaceDN w:val="0"/>
            </w:pPr>
            <w:r>
              <w:rPr>
                <w:rFonts w:ascii="Arial" w:eastAsia="Arial" w:hAnsi="Arial" w:cs="Arial"/>
                <w:b/>
                <w:color w:val="000000"/>
                <w:sz w:val="18"/>
              </w:rPr>
              <w:t>Practical Information</w:t>
            </w:r>
          </w:p>
        </w:tc>
      </w:tr>
      <w:tr w:rsidR="00212F65" w14:paraId="38535687" w14:textId="77777777">
        <w:trPr>
          <w:trHeight w:hRule="exact" w:val="226"/>
        </w:trPr>
        <w:tc>
          <w:tcPr>
            <w:tcW w:w="10544" w:type="dxa"/>
            <w:shd w:val="clear" w:color="auto" w:fill="auto"/>
            <w:noWrap/>
            <w:tcMar>
              <w:left w:w="20" w:type="dxa"/>
              <w:right w:w="20" w:type="dxa"/>
            </w:tcMar>
          </w:tcPr>
          <w:p w14:paraId="42E3CD9A" w14:textId="77777777" w:rsidR="00212F65" w:rsidRDefault="00212F65">
            <w:pPr>
              <w:autoSpaceDE w:val="0"/>
              <w:autoSpaceDN w:val="0"/>
              <w:rPr>
                <w:rFonts w:ascii="Arial" w:eastAsia="Arial" w:hAnsi="Arial" w:cs="Arial"/>
                <w:color w:val="000000"/>
                <w:sz w:val="18"/>
              </w:rPr>
            </w:pPr>
          </w:p>
        </w:tc>
      </w:tr>
    </w:tbl>
    <w:p w14:paraId="702B3AC1" w14:textId="77777777" w:rsidR="00212F65" w:rsidRDefault="00212F65">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212F65" w14:paraId="0742E25E" w14:textId="77777777">
        <w:tc>
          <w:tcPr>
            <w:tcW w:w="4989" w:type="dxa"/>
            <w:shd w:val="clear" w:color="auto" w:fill="auto"/>
            <w:noWrap/>
            <w:tcMar>
              <w:left w:w="56" w:type="dxa"/>
              <w:right w:w="56" w:type="dxa"/>
            </w:tcMar>
          </w:tcPr>
          <w:p w14:paraId="4579E36B" w14:textId="77777777" w:rsidR="00212F65" w:rsidRDefault="00AE3C9C">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70164986" w14:textId="77777777" w:rsidR="00212F65" w:rsidRDefault="00212F65">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220F88BA" w14:textId="77777777" w:rsidR="00212F65" w:rsidRDefault="00AE3C9C">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Sigma Select Global Leaders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48FD028A" w14:textId="77777777" w:rsidR="00212F65" w:rsidRDefault="00AE3C9C">
            <w:pPr>
              <w:keepNext/>
              <w:keepLines/>
              <w:autoSpaceDE w:val="0"/>
              <w:autoSpaceDN w:val="0"/>
              <w:jc w:val="both"/>
            </w:pPr>
            <w:r>
              <w:rPr>
                <w:rFonts w:ascii="Arial" w:eastAsia="Arial" w:hAnsi="Arial" w:cs="Arial"/>
                <w:color w:val="000000"/>
                <w:sz w:val="16"/>
              </w:rPr>
              <w:t> </w:t>
            </w:r>
          </w:p>
          <w:p w14:paraId="2D57401A" w14:textId="77777777" w:rsidR="00212F65" w:rsidRDefault="00AE3C9C">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212F65" w14:paraId="1E333866" w14:textId="77777777">
        <w:trPr>
          <w:trHeight w:hRule="exact" w:val="226"/>
        </w:trPr>
        <w:tc>
          <w:tcPr>
            <w:tcW w:w="10488" w:type="dxa"/>
            <w:gridSpan w:val="3"/>
            <w:shd w:val="clear" w:color="auto" w:fill="auto"/>
            <w:noWrap/>
            <w:tcMar>
              <w:left w:w="56" w:type="dxa"/>
              <w:right w:w="56" w:type="dxa"/>
            </w:tcMar>
            <w:vAlign w:val="center"/>
          </w:tcPr>
          <w:p w14:paraId="2BF2D71D" w14:textId="77777777" w:rsidR="00212F65" w:rsidRDefault="00212F65">
            <w:pPr>
              <w:keepNext/>
              <w:autoSpaceDE w:val="0"/>
              <w:autoSpaceDN w:val="0"/>
              <w:jc w:val="both"/>
              <w:rPr>
                <w:rFonts w:ascii="Arial" w:eastAsia="Arial" w:hAnsi="Arial" w:cs="Arial"/>
                <w:color w:val="000000"/>
                <w:sz w:val="16"/>
              </w:rPr>
            </w:pPr>
          </w:p>
        </w:tc>
      </w:tr>
      <w:tr w:rsidR="00212F65" w14:paraId="2C4905B4" w14:textId="77777777">
        <w:tc>
          <w:tcPr>
            <w:tcW w:w="10488" w:type="dxa"/>
            <w:gridSpan w:val="3"/>
            <w:shd w:val="clear" w:color="auto" w:fill="auto"/>
            <w:noWrap/>
            <w:tcMar>
              <w:left w:w="56" w:type="dxa"/>
              <w:right w:w="56" w:type="dxa"/>
            </w:tcMar>
            <w:vAlign w:val="center"/>
          </w:tcPr>
          <w:p w14:paraId="2E0751C2" w14:textId="77777777" w:rsidR="00212F65" w:rsidRDefault="00AE3C9C">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r>
            <w:r>
              <w:rPr>
                <w:rFonts w:ascii="Arial" w:eastAsia="Arial" w:hAnsi="Arial" w:cs="Arial"/>
                <w:color w:val="000000"/>
                <w:sz w:val="16"/>
              </w:rPr>
              <w:br/>
            </w:r>
          </w:p>
          <w:p w14:paraId="69D85BDC" w14:textId="3028FCBD" w:rsidR="00212F65" w:rsidRDefault="00AE3C9C">
            <w:pPr>
              <w:keepLines/>
              <w:autoSpaceDE w:val="0"/>
              <w:autoSpaceDN w:val="0"/>
            </w:pPr>
            <w:r>
              <w:rPr>
                <w:rFonts w:ascii="Arial" w:eastAsia="Arial" w:hAnsi="Arial" w:cs="Arial"/>
                <w:color w:val="000000"/>
                <w:sz w:val="16"/>
              </w:rPr>
              <w:t xml:space="preserve">This Key Information Document is accurate as at </w:t>
            </w:r>
            <w:r w:rsidR="001D6FD9">
              <w:rPr>
                <w:rFonts w:ascii="Arial" w:eastAsia="Arial" w:hAnsi="Arial" w:cs="Arial"/>
                <w:color w:val="000000"/>
                <w:sz w:val="16"/>
              </w:rPr>
              <w:t>6 September 2022.</w:t>
            </w:r>
            <w:r>
              <w:rPr>
                <w:rFonts w:ascii="Arial" w:eastAsia="Arial" w:hAnsi="Arial" w:cs="Arial"/>
                <w:color w:val="000000"/>
                <w:sz w:val="16"/>
              </w:rPr>
              <w:t> </w:t>
            </w:r>
          </w:p>
        </w:tc>
      </w:tr>
    </w:tbl>
    <w:p w14:paraId="086C8AC2" w14:textId="77777777" w:rsidR="00212F65" w:rsidRDefault="00212F65">
      <w:pPr>
        <w:autoSpaceDE w:val="0"/>
        <w:autoSpaceDN w:val="0"/>
        <w:rPr>
          <w:sz w:val="2"/>
          <w:szCs w:val="2"/>
        </w:rPr>
      </w:pPr>
    </w:p>
    <w:sectPr w:rsidR="00212F65">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FBEC" w14:textId="77777777" w:rsidR="007B1576" w:rsidRDefault="00AE3C9C">
      <w:r>
        <w:separator/>
      </w:r>
    </w:p>
  </w:endnote>
  <w:endnote w:type="continuationSeparator" w:id="0">
    <w:p w14:paraId="4822AAE6" w14:textId="77777777" w:rsidR="007B1576" w:rsidRDefault="00AE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9E2" w14:textId="77777777" w:rsidR="00212F65" w:rsidRDefault="00212F65">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5614" w14:textId="77777777" w:rsidR="00212F65" w:rsidRDefault="00212F65">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776F" w14:textId="77777777" w:rsidR="00212F65" w:rsidRDefault="00212F65">
      <w:pPr>
        <w:pStyle w:val="Footer"/>
        <w:autoSpaceDE w:val="0"/>
        <w:autoSpaceDN w:val="0"/>
      </w:pPr>
    </w:p>
  </w:footnote>
  <w:footnote w:type="continuationSeparator" w:id="0">
    <w:p w14:paraId="71363163" w14:textId="77777777" w:rsidR="00212F65" w:rsidRDefault="00AE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4C4F" w14:textId="77777777" w:rsidR="00212F65" w:rsidRDefault="00212F65">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E8B6" w14:textId="77777777" w:rsidR="00212F65" w:rsidRDefault="00212F65">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14F8"/>
    <w:multiLevelType w:val="multilevel"/>
    <w:tmpl w:val="646C0582"/>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269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212F65"/>
    <w:rsid w:val="001D6FD9"/>
    <w:rsid w:val="00212F65"/>
    <w:rsid w:val="007B1576"/>
    <w:rsid w:val="00AE3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18D8"/>
  <w15:docId w15:val="{4AC18B76-4E19-4D03-82D8-0768C1B3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Data!$A$2:$A$4</c:f>
              <c:strCache>
                <c:ptCount val="3"/>
                <c:pt idx="0">
                  <c:v>2019</c:v>
                </c:pt>
                <c:pt idx="1">
                  <c:v>2020</c:v>
                </c:pt>
                <c:pt idx="2">
                  <c:v>2021</c:v>
                </c:pt>
              </c:strCache>
            </c:strRef>
          </c:cat>
          <c:val>
            <c:numRef>
              <c:f>Data!$B$2:$B$4</c:f>
              <c:numCache>
                <c:formatCode>General</c:formatCode>
                <c:ptCount val="3"/>
                <c:pt idx="1">
                  <c:v>20.378081199796</c:v>
                </c:pt>
                <c:pt idx="2">
                  <c:v>7.9960107014519997</c:v>
                </c:pt>
              </c:numCache>
            </c:numRef>
          </c:val>
          <c:extLst xmlns:c16="http://schemas.microsoft.com/office/drawing/2014/chart">
            <c:ext xmlns:c16="http://schemas.microsoft.com/office/drawing/2014/chart" uri="{C3380CC4-5D6E-409C-BE32-E72D297353CC}">
              <c16:uniqueId val="{00000000-0966-4D77-9DBA-58A9A2515777}"/>
            </c:ext>
          </c:extLst>
        </c:ser>
        <c:ser>
          <c:idx val="1"/>
          <c:order val="1"/>
          <c:tx>
            <c:strRef>
              <c:f>Data!$C$1</c:f>
              <c:strCache>
                <c:ptCount val="1"/>
                <c:pt idx="0">
                  <c:v>MSCI AC World Daily TR Net USD</c:v>
                </c:pt>
              </c:strCache>
            </c:strRef>
          </c:tx>
          <c:spPr>
            <a:solidFill>
              <a:srgbClr val="B3B3B3"/>
            </a:solidFill>
            <a:ln>
              <a:noFill/>
            </a:ln>
          </c:spPr>
          <c:invertIfNegative val="0"/>
          <c:cat>
            <c:strRef>
              <c:f>Data!$A$2:$A$4</c:f>
              <c:strCache>
                <c:ptCount val="3"/>
                <c:pt idx="0">
                  <c:v>2019</c:v>
                </c:pt>
                <c:pt idx="1">
                  <c:v>2020</c:v>
                </c:pt>
                <c:pt idx="2">
                  <c:v>2021</c:v>
                </c:pt>
              </c:strCache>
            </c:strRef>
          </c:cat>
          <c:val>
            <c:numRef>
              <c:f>Data!$C$2:$C$4</c:f>
              <c:numCache>
                <c:formatCode>General</c:formatCode>
                <c:ptCount val="3"/>
                <c:pt idx="1">
                  <c:v>16.254850530172</c:v>
                </c:pt>
                <c:pt idx="2">
                  <c:v>18.537356152859001</c:v>
                </c:pt>
              </c:numCache>
            </c:numRef>
          </c:val>
          <c:extLst xmlns:c16="http://schemas.microsoft.com/office/drawing/2014/chart">
            <c:ext xmlns:c16="http://schemas.microsoft.com/office/drawing/2014/chart" uri="{C3380CC4-5D6E-409C-BE32-E72D297353CC}">
              <c16:uniqueId val="{00000001-0966-4D77-9DBA-58A9A2515777}"/>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5"/>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5"/>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Sigma Select Glbl Leaders Cl 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1624</Words>
  <Characters>9259</Characters>
  <Application>Microsoft Office Word</Application>
  <DocSecurity>0</DocSecurity>
  <Lines>77</Lines>
  <Paragraphs>21</Paragraphs>
  <ScaleCrop>false</ScaleCrop>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2022-02-17T16:50:00Z</dcterms:created>
  <dcterms:modified xsi:type="dcterms:W3CDTF">2022-09-06T08:55:00Z</dcterms:modified>
</cp:coreProperties>
</file>