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955D6" w14:textId="309E5AD5" w:rsidR="00513C9B" w:rsidRPr="00AB6071" w:rsidRDefault="00424751" w:rsidP="00AB6071">
      <w:pPr>
        <w:spacing w:line="288" w:lineRule="auto"/>
        <w:jc w:val="center"/>
        <w:outlineLvl w:val="0"/>
        <w:rPr>
          <w:rFonts w:ascii="Arial" w:hAnsi="Arial" w:cs="Arial"/>
          <w:b/>
          <w:color w:val="000000" w:themeColor="text1"/>
          <w:sz w:val="20"/>
        </w:rPr>
      </w:pPr>
      <w:r w:rsidRPr="00AB6071">
        <w:rPr>
          <w:rFonts w:ascii="Arial" w:hAnsi="Arial" w:cs="Arial"/>
          <w:b/>
          <w:color w:val="000000" w:themeColor="text1"/>
          <w:sz w:val="20"/>
        </w:rPr>
        <w:t>Supplement dated</w:t>
      </w:r>
      <w:r w:rsidR="00887666">
        <w:rPr>
          <w:rFonts w:ascii="Arial" w:hAnsi="Arial" w:cs="Arial"/>
          <w:b/>
          <w:color w:val="000000" w:themeColor="text1"/>
          <w:sz w:val="20"/>
        </w:rPr>
        <w:t xml:space="preserve"> </w:t>
      </w:r>
      <w:r w:rsidR="00AE5350">
        <w:rPr>
          <w:rFonts w:ascii="Arial" w:hAnsi="Arial" w:cs="Arial"/>
          <w:b/>
          <w:color w:val="000000" w:themeColor="text1"/>
          <w:sz w:val="20"/>
        </w:rPr>
        <w:t>9 June</w:t>
      </w:r>
      <w:r w:rsidR="0066092E">
        <w:rPr>
          <w:rFonts w:ascii="Arial" w:hAnsi="Arial" w:cs="Arial"/>
          <w:b/>
          <w:color w:val="000000" w:themeColor="text1"/>
          <w:sz w:val="20"/>
        </w:rPr>
        <w:t xml:space="preserve"> </w:t>
      </w:r>
      <w:r w:rsidR="00A11C37">
        <w:rPr>
          <w:rFonts w:ascii="Arial" w:hAnsi="Arial" w:cs="Arial"/>
          <w:b/>
          <w:color w:val="000000" w:themeColor="text1"/>
          <w:sz w:val="20"/>
        </w:rPr>
        <w:t>2026</w:t>
      </w:r>
    </w:p>
    <w:p w14:paraId="405EE130" w14:textId="43510396" w:rsidR="00513C9B" w:rsidRPr="00AB6071" w:rsidRDefault="00424751" w:rsidP="00AB6071">
      <w:pPr>
        <w:spacing w:line="288" w:lineRule="auto"/>
        <w:jc w:val="center"/>
        <w:outlineLvl w:val="0"/>
        <w:rPr>
          <w:rFonts w:ascii="Arial" w:hAnsi="Arial" w:cs="Arial"/>
          <w:b/>
          <w:color w:val="000000" w:themeColor="text1"/>
          <w:sz w:val="20"/>
        </w:rPr>
      </w:pPr>
      <w:r w:rsidRPr="00AB6071">
        <w:rPr>
          <w:rFonts w:ascii="Arial" w:hAnsi="Arial" w:cs="Arial"/>
          <w:b/>
          <w:color w:val="000000" w:themeColor="text1"/>
          <w:sz w:val="20"/>
        </w:rPr>
        <w:t xml:space="preserve">to the Prospectus for Prescient Global Funds </w:t>
      </w:r>
      <w:r w:rsidR="0096687F" w:rsidRPr="00AB6071">
        <w:rPr>
          <w:rFonts w:ascii="Arial" w:hAnsi="Arial" w:cs="Arial"/>
          <w:b/>
          <w:color w:val="000000" w:themeColor="text1"/>
          <w:sz w:val="20"/>
        </w:rPr>
        <w:t>ICAV</w:t>
      </w:r>
    </w:p>
    <w:p w14:paraId="12F1BE3D" w14:textId="77777777" w:rsidR="00513C9B" w:rsidRPr="00AB6071" w:rsidRDefault="00513C9B" w:rsidP="00AB6071">
      <w:pPr>
        <w:spacing w:line="288" w:lineRule="auto"/>
        <w:rPr>
          <w:rFonts w:ascii="Arial" w:hAnsi="Arial" w:cs="Arial"/>
          <w:color w:val="000000" w:themeColor="text1"/>
          <w:sz w:val="20"/>
        </w:rPr>
      </w:pPr>
    </w:p>
    <w:p w14:paraId="5F1BEECB" w14:textId="101934BE" w:rsidR="00513C9B" w:rsidRPr="00AB6071" w:rsidRDefault="00CA1C7F" w:rsidP="00AB6071">
      <w:pPr>
        <w:spacing w:line="288" w:lineRule="auto"/>
        <w:jc w:val="center"/>
        <w:outlineLvl w:val="0"/>
        <w:rPr>
          <w:rFonts w:ascii="Arial" w:hAnsi="Arial" w:cs="Arial"/>
          <w:b/>
          <w:color w:val="000000" w:themeColor="text1"/>
          <w:sz w:val="20"/>
          <w:lang w:val="en-IE"/>
        </w:rPr>
      </w:pPr>
      <w:r w:rsidRPr="00AB6071">
        <w:rPr>
          <w:rFonts w:ascii="Arial" w:hAnsi="Arial" w:cs="Arial"/>
          <w:b/>
          <w:color w:val="000000" w:themeColor="text1"/>
          <w:sz w:val="20"/>
          <w:lang w:val="en-IE"/>
        </w:rPr>
        <w:t>Prescient Core Global Equity Fund</w:t>
      </w:r>
    </w:p>
    <w:p w14:paraId="4DA4CA45" w14:textId="77777777" w:rsidR="00513C9B" w:rsidRPr="00AB6071" w:rsidRDefault="00513C9B" w:rsidP="00AB6071">
      <w:pPr>
        <w:spacing w:line="288" w:lineRule="auto"/>
        <w:outlineLvl w:val="0"/>
        <w:rPr>
          <w:rFonts w:ascii="Arial" w:hAnsi="Arial" w:cs="Arial"/>
          <w:b/>
          <w:color w:val="000000" w:themeColor="text1"/>
          <w:sz w:val="20"/>
        </w:rPr>
      </w:pPr>
    </w:p>
    <w:p w14:paraId="45F0A1D1" w14:textId="72944A14" w:rsidR="00513C9B" w:rsidRPr="00AB6071" w:rsidRDefault="00424751" w:rsidP="00AB6071">
      <w:pPr>
        <w:spacing w:line="288" w:lineRule="auto"/>
        <w:rPr>
          <w:rFonts w:ascii="Arial" w:hAnsi="Arial" w:cs="Arial"/>
          <w:color w:val="000000" w:themeColor="text1"/>
          <w:sz w:val="20"/>
        </w:rPr>
      </w:pPr>
      <w:r w:rsidRPr="00AB6071">
        <w:rPr>
          <w:rFonts w:ascii="Arial" w:hAnsi="Arial" w:cs="Arial"/>
          <w:color w:val="000000" w:themeColor="text1"/>
          <w:sz w:val="20"/>
        </w:rPr>
        <w:t xml:space="preserve">This Supplement contains specific information in relation to the </w:t>
      </w:r>
      <w:r w:rsidR="00CA1C7F" w:rsidRPr="00AB6071">
        <w:rPr>
          <w:rFonts w:ascii="Arial" w:hAnsi="Arial" w:cs="Arial"/>
          <w:color w:val="000000" w:themeColor="text1"/>
          <w:sz w:val="20"/>
        </w:rPr>
        <w:t xml:space="preserve">Prescient Core Global Equity Fund </w:t>
      </w:r>
      <w:r w:rsidRPr="00AB6071">
        <w:rPr>
          <w:rFonts w:ascii="Arial" w:hAnsi="Arial" w:cs="Arial"/>
          <w:color w:val="000000" w:themeColor="text1"/>
          <w:sz w:val="20"/>
        </w:rPr>
        <w:t>(the “</w:t>
      </w:r>
      <w:r w:rsidRPr="00AB6071">
        <w:rPr>
          <w:rFonts w:ascii="Arial" w:hAnsi="Arial" w:cs="Arial"/>
          <w:b/>
          <w:color w:val="000000" w:themeColor="text1"/>
          <w:sz w:val="20"/>
        </w:rPr>
        <w:t>Fund</w:t>
      </w:r>
      <w:r w:rsidRPr="00AB6071">
        <w:rPr>
          <w:rFonts w:ascii="Arial" w:hAnsi="Arial" w:cs="Arial"/>
          <w:color w:val="000000" w:themeColor="text1"/>
          <w:sz w:val="20"/>
        </w:rPr>
        <w:t xml:space="preserve">”), a fund of Prescient Global Funds </w:t>
      </w:r>
      <w:r w:rsidR="0096687F" w:rsidRPr="00AB6071">
        <w:rPr>
          <w:rFonts w:ascii="Arial" w:hAnsi="Arial" w:cs="Arial"/>
          <w:color w:val="000000" w:themeColor="text1"/>
          <w:sz w:val="20"/>
        </w:rPr>
        <w:t>ICAV</w:t>
      </w:r>
      <w:r w:rsidRPr="00AB6071">
        <w:rPr>
          <w:rFonts w:ascii="Arial" w:hAnsi="Arial" w:cs="Arial"/>
          <w:color w:val="000000" w:themeColor="text1"/>
          <w:sz w:val="20"/>
        </w:rPr>
        <w:t xml:space="preserve"> (the "</w:t>
      </w:r>
      <w:r w:rsidR="0096687F" w:rsidRPr="00AB6071">
        <w:rPr>
          <w:rFonts w:ascii="Arial" w:hAnsi="Arial" w:cs="Arial"/>
          <w:b/>
          <w:color w:val="000000" w:themeColor="text1"/>
          <w:sz w:val="20"/>
        </w:rPr>
        <w:t>ICAV</w:t>
      </w:r>
      <w:r w:rsidRPr="00AB6071">
        <w:rPr>
          <w:rFonts w:ascii="Arial" w:hAnsi="Arial" w:cs="Arial"/>
          <w:color w:val="000000" w:themeColor="text1"/>
          <w:sz w:val="20"/>
        </w:rPr>
        <w:t xml:space="preserve">"), an open-ended umbrella fund with segregated liability between Funds authorised by the Central Bank as a UCITS pursuant to the UCITS Regulations. </w:t>
      </w:r>
    </w:p>
    <w:p w14:paraId="1DD3E063" w14:textId="77777777" w:rsidR="006C22F9" w:rsidRPr="00AB6071" w:rsidRDefault="006C22F9" w:rsidP="00AB6071">
      <w:pPr>
        <w:spacing w:line="288" w:lineRule="auto"/>
        <w:rPr>
          <w:rFonts w:ascii="Arial" w:hAnsi="Arial" w:cs="Arial"/>
          <w:color w:val="000000" w:themeColor="text1"/>
          <w:sz w:val="20"/>
        </w:rPr>
      </w:pPr>
    </w:p>
    <w:p w14:paraId="38017D46" w14:textId="2A2DB311" w:rsidR="00513C9B" w:rsidRPr="00AB6071" w:rsidRDefault="00424751" w:rsidP="00AB6071">
      <w:pPr>
        <w:spacing w:line="288" w:lineRule="auto"/>
        <w:rPr>
          <w:rFonts w:ascii="Arial" w:hAnsi="Arial" w:cs="Arial"/>
          <w:b/>
          <w:color w:val="000000" w:themeColor="text1"/>
          <w:sz w:val="20"/>
        </w:rPr>
      </w:pPr>
      <w:r w:rsidRPr="00AB6071">
        <w:rPr>
          <w:rFonts w:ascii="Arial" w:hAnsi="Arial" w:cs="Arial"/>
          <w:b/>
          <w:color w:val="000000" w:themeColor="text1"/>
          <w:sz w:val="20"/>
        </w:rPr>
        <w:t xml:space="preserve">This Supplement forms part of and should be read in conjunction with the Prospectus dated </w:t>
      </w:r>
      <w:r w:rsidR="00A11C37">
        <w:rPr>
          <w:rFonts w:ascii="Arial" w:hAnsi="Arial" w:cs="Arial"/>
          <w:b/>
          <w:color w:val="000000" w:themeColor="text1"/>
          <w:sz w:val="20"/>
        </w:rPr>
        <w:t>9 June 2026</w:t>
      </w:r>
      <w:r w:rsidR="0096687F" w:rsidRPr="00AB6071">
        <w:rPr>
          <w:rFonts w:ascii="Arial" w:hAnsi="Arial" w:cs="Arial"/>
          <w:b/>
          <w:color w:val="000000" w:themeColor="text1"/>
          <w:sz w:val="20"/>
        </w:rPr>
        <w:t xml:space="preserve"> </w:t>
      </w:r>
      <w:r w:rsidRPr="00AB6071">
        <w:rPr>
          <w:rFonts w:ascii="Arial" w:hAnsi="Arial" w:cs="Arial"/>
          <w:b/>
          <w:color w:val="000000" w:themeColor="text1"/>
          <w:sz w:val="20"/>
        </w:rPr>
        <w:t>(the</w:t>
      </w:r>
      <w:r w:rsidR="00B24FCE">
        <w:rPr>
          <w:rFonts w:ascii="Arial" w:hAnsi="Arial" w:cs="Arial"/>
          <w:b/>
          <w:color w:val="000000" w:themeColor="text1"/>
          <w:sz w:val="20"/>
        </w:rPr>
        <w:t xml:space="preserve"> </w:t>
      </w:r>
      <w:r w:rsidRPr="00AB6071">
        <w:rPr>
          <w:rFonts w:ascii="Arial" w:hAnsi="Arial" w:cs="Arial"/>
          <w:b/>
          <w:color w:val="000000" w:themeColor="text1"/>
          <w:sz w:val="20"/>
        </w:rPr>
        <w:t xml:space="preserve">“Prospectus”) including the general description of the </w:t>
      </w:r>
      <w:r w:rsidR="0096687F" w:rsidRPr="00AB6071">
        <w:rPr>
          <w:rFonts w:ascii="Arial" w:hAnsi="Arial" w:cs="Arial"/>
          <w:b/>
          <w:color w:val="000000" w:themeColor="text1"/>
          <w:sz w:val="20"/>
        </w:rPr>
        <w:t>ICAV</w:t>
      </w:r>
      <w:r w:rsidRPr="00AB6071">
        <w:rPr>
          <w:rFonts w:ascii="Arial" w:hAnsi="Arial" w:cs="Arial"/>
          <w:b/>
          <w:color w:val="000000" w:themeColor="text1"/>
          <w:sz w:val="20"/>
        </w:rPr>
        <w:t xml:space="preserve"> and its management and administration, its investment and borrowing powers and restrictions, its general management and fund charges and its risk factors. A copy of the Prospectus is available from the Manager at </w:t>
      </w:r>
      <w:r w:rsidR="00881A0A">
        <w:rPr>
          <w:rFonts w:ascii="Arial" w:hAnsi="Arial" w:cs="Arial"/>
          <w:b/>
          <w:color w:val="000000" w:themeColor="text1"/>
          <w:sz w:val="20"/>
        </w:rPr>
        <w:t>35 Merrion Square East</w:t>
      </w:r>
      <w:r w:rsidRPr="00AB6071">
        <w:rPr>
          <w:rFonts w:ascii="Arial" w:hAnsi="Arial" w:cs="Arial"/>
          <w:b/>
          <w:color w:val="000000" w:themeColor="text1"/>
          <w:sz w:val="20"/>
        </w:rPr>
        <w:t xml:space="preserve">, Dublin 2, Ireland. A list of the other sub-funds of the </w:t>
      </w:r>
      <w:r w:rsidR="0096687F" w:rsidRPr="00AB6071">
        <w:rPr>
          <w:rFonts w:ascii="Arial" w:hAnsi="Arial" w:cs="Arial"/>
          <w:b/>
          <w:color w:val="000000" w:themeColor="text1"/>
          <w:sz w:val="20"/>
        </w:rPr>
        <w:t>ICAV</w:t>
      </w:r>
      <w:r w:rsidRPr="00AB6071">
        <w:rPr>
          <w:rFonts w:ascii="Arial" w:hAnsi="Arial" w:cs="Arial"/>
          <w:b/>
          <w:color w:val="000000" w:themeColor="text1"/>
          <w:sz w:val="20"/>
        </w:rPr>
        <w:t xml:space="preserve"> is set out in the Existing Fund Supplement to the Prospectus.</w:t>
      </w:r>
    </w:p>
    <w:p w14:paraId="2C2FB27C" w14:textId="77777777" w:rsidR="00513C9B" w:rsidRPr="00AB6071" w:rsidRDefault="00513C9B" w:rsidP="00AB6071">
      <w:pPr>
        <w:spacing w:line="288" w:lineRule="auto"/>
        <w:rPr>
          <w:rFonts w:ascii="Arial" w:hAnsi="Arial" w:cs="Arial"/>
          <w:b/>
          <w:sz w:val="20"/>
        </w:rPr>
      </w:pPr>
    </w:p>
    <w:p w14:paraId="3CDF0089" w14:textId="34D4C965" w:rsidR="00513C9B" w:rsidRPr="002F14EF" w:rsidRDefault="00424751" w:rsidP="00AB6071">
      <w:pPr>
        <w:spacing w:line="288" w:lineRule="auto"/>
        <w:rPr>
          <w:rFonts w:ascii="Arial" w:hAnsi="Arial" w:cs="Arial"/>
          <w:b/>
          <w:color w:val="000000" w:themeColor="text1"/>
          <w:sz w:val="20"/>
        </w:rPr>
      </w:pPr>
      <w:r w:rsidRPr="00AB6071">
        <w:rPr>
          <w:rFonts w:ascii="Arial" w:hAnsi="Arial" w:cs="Arial"/>
          <w:b/>
          <w:sz w:val="20"/>
        </w:rPr>
        <w:t xml:space="preserve">An investment in the Fund should not constitute a substantial proportion of an investment portfolio and may not be appropriate for all investors. The </w:t>
      </w:r>
      <w:r w:rsidRPr="00AB6071">
        <w:rPr>
          <w:rFonts w:ascii="Arial" w:hAnsi="Arial" w:cs="Arial"/>
          <w:b/>
          <w:color w:val="000000" w:themeColor="text1"/>
          <w:sz w:val="20"/>
        </w:rPr>
        <w:t xml:space="preserve">difference at any one time between the sale and repurchase price of Shares in the </w:t>
      </w:r>
      <w:r w:rsidRPr="002F14EF">
        <w:rPr>
          <w:rFonts w:ascii="Arial" w:hAnsi="Arial" w:cs="Arial"/>
          <w:b/>
          <w:color w:val="000000" w:themeColor="text1"/>
          <w:sz w:val="20"/>
        </w:rPr>
        <w:t xml:space="preserve">Fund means that the investment should be viewed as medium to long term. </w:t>
      </w:r>
    </w:p>
    <w:p w14:paraId="623F008E" w14:textId="1C0C12AE" w:rsidR="00EB7EB8" w:rsidRPr="002F14EF" w:rsidRDefault="00EB7EB8" w:rsidP="00AB6071">
      <w:pPr>
        <w:spacing w:line="288" w:lineRule="auto"/>
        <w:rPr>
          <w:rFonts w:ascii="Arial" w:hAnsi="Arial" w:cs="Arial"/>
          <w:b/>
          <w:color w:val="000000" w:themeColor="text1"/>
          <w:sz w:val="20"/>
        </w:rPr>
      </w:pPr>
    </w:p>
    <w:p w14:paraId="1E234197" w14:textId="16B7EF85" w:rsidR="00EB7EB8" w:rsidRPr="002F14EF" w:rsidRDefault="00EB7EB8"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sz w:val="20"/>
        </w:rPr>
      </w:pPr>
      <w:r w:rsidRPr="002F14EF">
        <w:rPr>
          <w:rFonts w:ascii="Arial" w:hAnsi="Arial" w:cs="Arial"/>
          <w:b/>
          <w:sz w:val="20"/>
        </w:rPr>
        <w:t xml:space="preserve">The Fund may </w:t>
      </w:r>
      <w:r w:rsidR="00970A47" w:rsidRPr="002F14EF">
        <w:rPr>
          <w:rFonts w:ascii="Arial" w:hAnsi="Arial" w:cs="Arial"/>
          <w:b/>
          <w:sz w:val="20"/>
        </w:rPr>
        <w:t xml:space="preserve">use </w:t>
      </w:r>
      <w:r w:rsidR="00FA092B" w:rsidRPr="002F14EF">
        <w:rPr>
          <w:rFonts w:ascii="Arial" w:hAnsi="Arial" w:cs="Arial"/>
          <w:b/>
          <w:sz w:val="20"/>
        </w:rPr>
        <w:t>fi</w:t>
      </w:r>
      <w:r w:rsidR="000E0CBC" w:rsidRPr="002F14EF">
        <w:rPr>
          <w:rFonts w:ascii="Arial" w:hAnsi="Arial" w:cs="Arial"/>
          <w:b/>
          <w:sz w:val="20"/>
        </w:rPr>
        <w:t>nancial derivative instruments</w:t>
      </w:r>
      <w:r w:rsidR="000E0CBC" w:rsidRPr="002F14EF">
        <w:rPr>
          <w:rFonts w:ascii="Arial" w:hAnsi="Arial" w:cs="Arial"/>
          <w:sz w:val="20"/>
        </w:rPr>
        <w:t xml:space="preserve"> </w:t>
      </w:r>
      <w:r w:rsidRPr="002F14EF">
        <w:rPr>
          <w:rFonts w:ascii="Arial" w:hAnsi="Arial" w:cs="Arial"/>
          <w:b/>
          <w:sz w:val="20"/>
        </w:rPr>
        <w:t>for efficient portfolio management purposes</w:t>
      </w:r>
      <w:r w:rsidR="004E37F9" w:rsidRPr="002F14EF">
        <w:rPr>
          <w:rFonts w:ascii="Arial" w:hAnsi="Arial" w:cs="Arial"/>
          <w:b/>
          <w:sz w:val="20"/>
        </w:rPr>
        <w:t>.</w:t>
      </w:r>
      <w:bookmarkStart w:id="0" w:name="_Hlk523917575"/>
      <w:r w:rsidRPr="002F14EF">
        <w:rPr>
          <w:rFonts w:ascii="Arial" w:hAnsi="Arial" w:cs="Arial"/>
          <w:b/>
          <w:sz w:val="20"/>
        </w:rPr>
        <w:t xml:space="preserve"> In relation to the expected effect of transactions in financial derivative instruments, please see the section below entitled “Derivative Trading and Efficient Portfolio Management” and the section of the Prospectus entitled “Derivative and Techniques and Instruments Risk”.</w:t>
      </w:r>
      <w:bookmarkEnd w:id="0"/>
    </w:p>
    <w:p w14:paraId="7EE76B84" w14:textId="03ECE12F" w:rsidR="00EB7EB8" w:rsidRPr="002F14EF" w:rsidRDefault="00EB7EB8" w:rsidP="00AB6071">
      <w:pPr>
        <w:spacing w:line="288" w:lineRule="auto"/>
        <w:rPr>
          <w:rFonts w:ascii="Arial" w:hAnsi="Arial" w:cs="Arial"/>
          <w:b/>
          <w:color w:val="000000" w:themeColor="text1"/>
          <w:sz w:val="20"/>
        </w:rPr>
      </w:pPr>
    </w:p>
    <w:p w14:paraId="49313E22" w14:textId="77777777" w:rsidR="00513C9B" w:rsidRPr="00AB6071" w:rsidRDefault="00424751" w:rsidP="00AB6071">
      <w:pPr>
        <w:spacing w:line="288" w:lineRule="auto"/>
        <w:rPr>
          <w:rFonts w:ascii="Arial" w:hAnsi="Arial" w:cs="Arial"/>
          <w:color w:val="000000" w:themeColor="text1"/>
          <w:sz w:val="20"/>
        </w:rPr>
      </w:pPr>
      <w:r w:rsidRPr="002F14EF">
        <w:rPr>
          <w:rFonts w:ascii="Arial" w:hAnsi="Arial" w:cs="Arial"/>
          <w:color w:val="000000" w:themeColor="text1"/>
          <w:sz w:val="20"/>
        </w:rPr>
        <w:t>Investors should read and consider the section entitled “Risk Factors</w:t>
      </w:r>
      <w:r w:rsidRPr="00AB6071">
        <w:rPr>
          <w:rFonts w:ascii="Arial" w:hAnsi="Arial" w:cs="Arial"/>
          <w:color w:val="000000" w:themeColor="text1"/>
          <w:sz w:val="20"/>
        </w:rPr>
        <w:t>” before investing in the Fund.</w:t>
      </w:r>
    </w:p>
    <w:p w14:paraId="01298A1A" w14:textId="77777777" w:rsidR="00513C9B" w:rsidRPr="00AB6071" w:rsidRDefault="00513C9B" w:rsidP="00AB6071">
      <w:pPr>
        <w:spacing w:line="288" w:lineRule="auto"/>
        <w:rPr>
          <w:rFonts w:ascii="Arial" w:hAnsi="Arial" w:cs="Arial"/>
          <w:color w:val="000000" w:themeColor="text1"/>
          <w:sz w:val="20"/>
        </w:rPr>
      </w:pPr>
    </w:p>
    <w:p w14:paraId="31A3C291" w14:textId="476845C9" w:rsidR="00513C9B" w:rsidRPr="00AB6071" w:rsidRDefault="00424751" w:rsidP="00AB6071">
      <w:pPr>
        <w:spacing w:line="288" w:lineRule="auto"/>
        <w:rPr>
          <w:rFonts w:ascii="Arial" w:hAnsi="Arial" w:cs="Arial"/>
          <w:color w:val="000000" w:themeColor="text1"/>
          <w:sz w:val="20"/>
        </w:rPr>
      </w:pPr>
      <w:r w:rsidRPr="00AB6071">
        <w:rPr>
          <w:rFonts w:ascii="Arial" w:hAnsi="Arial" w:cs="Arial"/>
          <w:color w:val="000000" w:themeColor="text1"/>
          <w:sz w:val="20"/>
        </w:rPr>
        <w:t xml:space="preserve">The Directors of the </w:t>
      </w:r>
      <w:r w:rsidR="0096687F" w:rsidRPr="00AB6071">
        <w:rPr>
          <w:rFonts w:ascii="Arial" w:hAnsi="Arial" w:cs="Arial"/>
          <w:color w:val="000000" w:themeColor="text1"/>
          <w:sz w:val="20"/>
        </w:rPr>
        <w:t>ICAV</w:t>
      </w:r>
      <w:r w:rsidRPr="00AB6071">
        <w:rPr>
          <w:rFonts w:ascii="Arial" w:hAnsi="Arial" w:cs="Arial"/>
          <w:color w:val="000000" w:themeColor="text1"/>
          <w:sz w:val="20"/>
        </w:rPr>
        <w:t xml:space="preserve"> accept responsibility for the information contained in the Prospectus and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726BF437" w14:textId="77777777" w:rsidR="00513C9B" w:rsidRPr="00AB6071" w:rsidRDefault="00513C9B" w:rsidP="00AB6071">
      <w:pPr>
        <w:spacing w:line="288" w:lineRule="auto"/>
        <w:rPr>
          <w:rFonts w:ascii="Arial" w:hAnsi="Arial" w:cs="Arial"/>
          <w:color w:val="000000" w:themeColor="text1"/>
          <w:sz w:val="20"/>
        </w:rPr>
      </w:pPr>
    </w:p>
    <w:p w14:paraId="2B0D7327" w14:textId="77777777" w:rsidR="00513C9B" w:rsidRPr="00AB6071" w:rsidRDefault="00424751" w:rsidP="00AB6071">
      <w:pPr>
        <w:spacing w:line="288" w:lineRule="auto"/>
        <w:rPr>
          <w:rFonts w:ascii="Arial" w:hAnsi="Arial" w:cs="Arial"/>
          <w:b/>
          <w:color w:val="000000" w:themeColor="text1"/>
          <w:sz w:val="20"/>
        </w:rPr>
      </w:pPr>
      <w:r w:rsidRPr="00AB6071">
        <w:rPr>
          <w:rFonts w:ascii="Arial" w:hAnsi="Arial" w:cs="Arial"/>
          <w:b/>
          <w:color w:val="000000" w:themeColor="text1"/>
          <w:sz w:val="20"/>
        </w:rPr>
        <w:t>Interpretation:</w:t>
      </w:r>
    </w:p>
    <w:p w14:paraId="3E077B08" w14:textId="77777777" w:rsidR="00513C9B" w:rsidRPr="00AB6071" w:rsidRDefault="00513C9B" w:rsidP="00AB6071">
      <w:pPr>
        <w:spacing w:line="288" w:lineRule="auto"/>
        <w:rPr>
          <w:rFonts w:ascii="Arial" w:hAnsi="Arial" w:cs="Arial"/>
          <w:color w:val="000000" w:themeColor="text1"/>
          <w:sz w:val="20"/>
        </w:rPr>
      </w:pPr>
    </w:p>
    <w:p w14:paraId="4007AFE8" w14:textId="77777777" w:rsidR="00513C9B" w:rsidRPr="00AB6071" w:rsidRDefault="00424751" w:rsidP="00AB6071">
      <w:pPr>
        <w:spacing w:line="288" w:lineRule="auto"/>
        <w:rPr>
          <w:rFonts w:ascii="Arial" w:hAnsi="Arial" w:cs="Arial"/>
          <w:color w:val="000000" w:themeColor="text1"/>
          <w:sz w:val="20"/>
        </w:rPr>
      </w:pPr>
      <w:r w:rsidRPr="00AB6071">
        <w:rPr>
          <w:rFonts w:ascii="Arial" w:hAnsi="Arial" w:cs="Arial"/>
          <w:color w:val="000000" w:themeColor="text1"/>
          <w:sz w:val="20"/>
        </w:rPr>
        <w:t>The expressions below shall have the following meanings:</w:t>
      </w:r>
    </w:p>
    <w:p w14:paraId="01F4347F" w14:textId="77777777" w:rsidR="00513C9B" w:rsidRPr="00AB6071" w:rsidRDefault="00513C9B" w:rsidP="00AB6071">
      <w:pPr>
        <w:spacing w:line="288" w:lineRule="auto"/>
        <w:rPr>
          <w:rFonts w:ascii="Arial" w:hAnsi="Arial" w:cs="Arial"/>
          <w:color w:val="000000" w:themeColor="text1"/>
          <w:sz w:val="20"/>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02"/>
        <w:gridCol w:w="5954"/>
      </w:tblGrid>
      <w:tr w:rsidR="00513C9B" w:rsidRPr="00AB6071" w14:paraId="21CD721A" w14:textId="77777777" w:rsidTr="00871940">
        <w:tc>
          <w:tcPr>
            <w:tcW w:w="3402" w:type="dxa"/>
            <w:shd w:val="clear" w:color="auto" w:fill="FFFFFF" w:themeFill="background1"/>
          </w:tcPr>
          <w:p w14:paraId="108E9E1E" w14:textId="77777777" w:rsidR="00513C9B" w:rsidRPr="00AB6071" w:rsidRDefault="00424751" w:rsidP="00AB6071">
            <w:pPr>
              <w:spacing w:line="288" w:lineRule="auto"/>
              <w:rPr>
                <w:rFonts w:ascii="Arial" w:hAnsi="Arial" w:cs="Arial"/>
                <w:b/>
                <w:color w:val="000000" w:themeColor="text1"/>
                <w:sz w:val="20"/>
              </w:rPr>
            </w:pPr>
            <w:r w:rsidRPr="00AB6071">
              <w:rPr>
                <w:rFonts w:ascii="Arial" w:hAnsi="Arial" w:cs="Arial"/>
                <w:b/>
                <w:color w:val="000000" w:themeColor="text1"/>
                <w:sz w:val="20"/>
              </w:rPr>
              <w:t>“Benchmark”</w:t>
            </w:r>
          </w:p>
        </w:tc>
        <w:tc>
          <w:tcPr>
            <w:tcW w:w="5954" w:type="dxa"/>
            <w:shd w:val="clear" w:color="auto" w:fill="FFFFFF" w:themeFill="background1"/>
          </w:tcPr>
          <w:p w14:paraId="4A549E4C" w14:textId="0E61251A" w:rsidR="00513C9B" w:rsidRPr="00AB6071" w:rsidRDefault="00424751" w:rsidP="00AB6071">
            <w:pPr>
              <w:spacing w:line="288" w:lineRule="auto"/>
              <w:ind w:right="459"/>
              <w:rPr>
                <w:rFonts w:ascii="Arial" w:hAnsi="Arial" w:cs="Arial"/>
                <w:color w:val="000000" w:themeColor="text1"/>
                <w:sz w:val="20"/>
              </w:rPr>
            </w:pPr>
            <w:r w:rsidRPr="00AB6071">
              <w:rPr>
                <w:rFonts w:ascii="Arial" w:hAnsi="Arial" w:cs="Arial"/>
                <w:color w:val="000000" w:themeColor="text1"/>
                <w:sz w:val="20"/>
              </w:rPr>
              <w:t xml:space="preserve">Means the MSCI </w:t>
            </w:r>
            <w:r w:rsidR="00CA1C7F" w:rsidRPr="00AB6071">
              <w:rPr>
                <w:rFonts w:ascii="Arial" w:hAnsi="Arial" w:cs="Arial"/>
                <w:color w:val="000000" w:themeColor="text1"/>
                <w:sz w:val="20"/>
              </w:rPr>
              <w:t>World</w:t>
            </w:r>
            <w:r w:rsidR="000F2FE7" w:rsidRPr="00AB6071">
              <w:rPr>
                <w:rFonts w:ascii="Arial" w:hAnsi="Arial" w:cs="Arial"/>
                <w:color w:val="000000" w:themeColor="text1"/>
                <w:sz w:val="20"/>
              </w:rPr>
              <w:t xml:space="preserve"> Total Return</w:t>
            </w:r>
            <w:r w:rsidR="00CA1C7F" w:rsidRPr="00AB6071">
              <w:rPr>
                <w:rFonts w:ascii="Arial" w:hAnsi="Arial" w:cs="Arial"/>
                <w:color w:val="000000" w:themeColor="text1"/>
                <w:sz w:val="20"/>
              </w:rPr>
              <w:t xml:space="preserve"> Index </w:t>
            </w:r>
            <w:r w:rsidRPr="00AB6071">
              <w:rPr>
                <w:rFonts w:ascii="Arial" w:hAnsi="Arial" w:cs="Arial"/>
                <w:color w:val="000000" w:themeColor="text1"/>
                <w:sz w:val="20"/>
              </w:rPr>
              <w:t xml:space="preserve">(Bloomberg code: </w:t>
            </w:r>
            <w:r w:rsidR="0036466B" w:rsidRPr="00AB6071">
              <w:rPr>
                <w:rFonts w:ascii="Arial" w:hAnsi="Arial" w:cs="Arial"/>
                <w:color w:val="000000" w:themeColor="text1"/>
                <w:sz w:val="20"/>
              </w:rPr>
              <w:t>NDDUWI</w:t>
            </w:r>
            <w:r w:rsidR="000F2FE7" w:rsidRPr="00AB6071">
              <w:rPr>
                <w:rFonts w:ascii="Arial" w:hAnsi="Arial" w:cs="Arial"/>
                <w:color w:val="000000" w:themeColor="text1"/>
                <w:sz w:val="20"/>
              </w:rPr>
              <w:t xml:space="preserve"> Index</w:t>
            </w:r>
            <w:r w:rsidRPr="00AB6071">
              <w:rPr>
                <w:rFonts w:ascii="Arial" w:hAnsi="Arial" w:cs="Arial"/>
                <w:color w:val="000000" w:themeColor="text1"/>
                <w:sz w:val="20"/>
              </w:rPr>
              <w:t xml:space="preserve">). </w:t>
            </w:r>
          </w:p>
          <w:p w14:paraId="2B499956" w14:textId="77777777" w:rsidR="00513C9B" w:rsidRPr="00AB6071" w:rsidRDefault="00513C9B" w:rsidP="00AB6071">
            <w:pPr>
              <w:spacing w:line="288" w:lineRule="auto"/>
              <w:ind w:left="1168"/>
              <w:rPr>
                <w:rFonts w:ascii="Arial" w:hAnsi="Arial" w:cs="Arial"/>
                <w:color w:val="000000" w:themeColor="text1"/>
                <w:sz w:val="20"/>
              </w:rPr>
            </w:pPr>
          </w:p>
          <w:p w14:paraId="163D924F" w14:textId="480F4AAB" w:rsidR="00CA1C7F" w:rsidRPr="00AB6071" w:rsidRDefault="00424751" w:rsidP="00AB6071">
            <w:pPr>
              <w:spacing w:line="288" w:lineRule="auto"/>
              <w:ind w:right="459"/>
              <w:rPr>
                <w:rFonts w:ascii="Arial" w:hAnsi="Arial" w:cs="Arial"/>
                <w:kern w:val="2"/>
                <w:sz w:val="20"/>
                <w:lang w:val="en-US"/>
              </w:rPr>
            </w:pPr>
            <w:r w:rsidRPr="00AB6071">
              <w:rPr>
                <w:rFonts w:ascii="Arial" w:hAnsi="Arial" w:cs="Arial"/>
                <w:color w:val="000000" w:themeColor="text1"/>
                <w:sz w:val="20"/>
              </w:rPr>
              <w:t xml:space="preserve">The MSCI </w:t>
            </w:r>
            <w:r w:rsidR="00CA1C7F" w:rsidRPr="00AB6071">
              <w:rPr>
                <w:rFonts w:ascii="Arial" w:hAnsi="Arial" w:cs="Arial"/>
                <w:color w:val="000000" w:themeColor="text1"/>
                <w:sz w:val="20"/>
              </w:rPr>
              <w:t xml:space="preserve">World Index is </w:t>
            </w:r>
            <w:r w:rsidR="00CA1C7F" w:rsidRPr="00AB6071">
              <w:rPr>
                <w:rFonts w:ascii="Arial" w:hAnsi="Arial" w:cs="Arial"/>
                <w:sz w:val="20"/>
                <w:lang w:val="en-US"/>
              </w:rPr>
              <w:t xml:space="preserve">a free float-adjusted market capitalization weighted index that is designed to measure the equity market performance of developed markets.  As of 30th September, 2019, </w:t>
            </w:r>
            <w:r w:rsidR="00CA1C7F" w:rsidRPr="00AB6071">
              <w:rPr>
                <w:rFonts w:ascii="Arial" w:hAnsi="Arial" w:cs="Arial"/>
                <w:sz w:val="20"/>
              </w:rPr>
              <w:t xml:space="preserve">the MSCI World Index consisted of the following 23 developed market country indices: </w:t>
            </w:r>
            <w:r w:rsidR="00CA1C7F" w:rsidRPr="00AB6071">
              <w:rPr>
                <w:rFonts w:ascii="Arial" w:hAnsi="Arial" w:cs="Arial"/>
                <w:sz w:val="20"/>
                <w:lang w:val="en-US"/>
              </w:rPr>
              <w:t xml:space="preserve">Australia, Austria, Belgium, Canada, Denmark, Finland, France, Germany, Hong Kong, Ireland, Israel, Italy, Japan, Netherlands, New Zealand, Norway, Portugal, Singapore, </w:t>
            </w:r>
            <w:r w:rsidR="00CA1C7F" w:rsidRPr="00AB6071">
              <w:rPr>
                <w:rFonts w:ascii="Arial" w:hAnsi="Arial" w:cs="Arial"/>
                <w:sz w:val="20"/>
                <w:lang w:val="en-US"/>
              </w:rPr>
              <w:lastRenderedPageBreak/>
              <w:t>Spain, Sweden, Switzerland, the United Kingdom, and the United States</w:t>
            </w:r>
            <w:r w:rsidR="00CA1C7F" w:rsidRPr="00AB6071">
              <w:rPr>
                <w:rFonts w:ascii="Arial" w:hAnsi="Arial" w:cs="Arial"/>
                <w:sz w:val="20"/>
              </w:rPr>
              <w:t>.</w:t>
            </w:r>
            <w:r w:rsidR="00CA1C7F" w:rsidRPr="00AB6071">
              <w:rPr>
                <w:rFonts w:ascii="Arial" w:hAnsi="Arial" w:cs="Arial"/>
                <w:kern w:val="2"/>
                <w:sz w:val="20"/>
                <w:lang w:val="en-US"/>
              </w:rPr>
              <w:t xml:space="preserve"> </w:t>
            </w:r>
          </w:p>
          <w:p w14:paraId="246B163C" w14:textId="77777777" w:rsidR="00E079DA" w:rsidRPr="00AB6071" w:rsidRDefault="00E079DA" w:rsidP="00AB6071">
            <w:pPr>
              <w:spacing w:line="288" w:lineRule="auto"/>
              <w:ind w:left="1026" w:right="459"/>
              <w:rPr>
                <w:rFonts w:ascii="Arial" w:hAnsi="Arial" w:cs="Arial"/>
                <w:kern w:val="2"/>
                <w:sz w:val="20"/>
                <w:lang w:val="en-US"/>
              </w:rPr>
            </w:pPr>
          </w:p>
          <w:p w14:paraId="094471C6" w14:textId="1F23A5BD" w:rsidR="00513C9B" w:rsidRPr="00AB6071" w:rsidRDefault="00CA1C7F" w:rsidP="00AB6071">
            <w:pPr>
              <w:spacing w:line="288" w:lineRule="auto"/>
              <w:ind w:right="459"/>
              <w:rPr>
                <w:rFonts w:ascii="Arial" w:hAnsi="Arial" w:cs="Arial"/>
                <w:color w:val="000000" w:themeColor="text1"/>
                <w:sz w:val="20"/>
              </w:rPr>
            </w:pPr>
            <w:r w:rsidRPr="00AB6071">
              <w:rPr>
                <w:rFonts w:ascii="Arial" w:hAnsi="Arial" w:cs="Arial"/>
                <w:kern w:val="2"/>
                <w:sz w:val="20"/>
                <w:lang w:val="en-US"/>
              </w:rPr>
              <w:t>A</w:t>
            </w:r>
            <w:r w:rsidRPr="00AB6071">
              <w:rPr>
                <w:rFonts w:ascii="Arial" w:hAnsi="Arial" w:cs="Arial"/>
                <w:bCs/>
                <w:iCs/>
                <w:sz w:val="20"/>
                <w:lang w:val="en-US"/>
              </w:rPr>
              <w:t xml:space="preserve">s at the date of this Prospectus, the administrator of the Index, namely MSCI Limited appears on the register of administrators and benchmarks maintained by ESMA pursuant to Article 36 </w:t>
            </w:r>
            <w:r w:rsidR="00424751" w:rsidRPr="00AB6071">
              <w:rPr>
                <w:rFonts w:ascii="Arial" w:hAnsi="Arial" w:cs="Arial"/>
                <w:iCs/>
                <w:sz w:val="20"/>
              </w:rPr>
              <w:t xml:space="preserve">of </w:t>
            </w:r>
            <w:r w:rsidR="00E079DA" w:rsidRPr="00AB6071">
              <w:rPr>
                <w:rFonts w:ascii="Arial" w:hAnsi="Arial" w:cs="Arial"/>
                <w:iCs/>
                <w:sz w:val="20"/>
              </w:rPr>
              <w:t xml:space="preserve">the Benchmark Regulation. </w:t>
            </w:r>
          </w:p>
        </w:tc>
      </w:tr>
      <w:tr w:rsidR="00871940" w:rsidRPr="00AB6071" w14:paraId="55C2A2CA" w14:textId="77777777" w:rsidTr="00871940">
        <w:tc>
          <w:tcPr>
            <w:tcW w:w="3402" w:type="dxa"/>
            <w:shd w:val="clear" w:color="auto" w:fill="FFFFFF" w:themeFill="background1"/>
          </w:tcPr>
          <w:p w14:paraId="6662440E" w14:textId="77777777" w:rsidR="00871940" w:rsidRPr="00AB6071" w:rsidRDefault="00871940"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color w:val="000000" w:themeColor="text1"/>
                <w:sz w:val="20"/>
              </w:rPr>
            </w:pPr>
          </w:p>
        </w:tc>
        <w:tc>
          <w:tcPr>
            <w:tcW w:w="5954" w:type="dxa"/>
            <w:shd w:val="clear" w:color="auto" w:fill="FFFFFF" w:themeFill="background1"/>
          </w:tcPr>
          <w:p w14:paraId="62D9BA08" w14:textId="77777777" w:rsidR="00871940" w:rsidRPr="00AB6071" w:rsidRDefault="00871940"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color w:val="000000" w:themeColor="text1"/>
                <w:sz w:val="20"/>
              </w:rPr>
            </w:pPr>
          </w:p>
        </w:tc>
      </w:tr>
      <w:tr w:rsidR="00513C9B" w:rsidRPr="00AB6071" w14:paraId="586797A6" w14:textId="77777777" w:rsidTr="00871940">
        <w:tc>
          <w:tcPr>
            <w:tcW w:w="3402" w:type="dxa"/>
            <w:shd w:val="clear" w:color="auto" w:fill="FFFFFF" w:themeFill="background1"/>
          </w:tcPr>
          <w:p w14:paraId="2FA6E239" w14:textId="77777777" w:rsidR="00513C9B"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color w:val="000000" w:themeColor="text1"/>
                <w:sz w:val="20"/>
              </w:rPr>
            </w:pPr>
            <w:r w:rsidRPr="00AB6071">
              <w:rPr>
                <w:rFonts w:ascii="Arial" w:hAnsi="Arial" w:cs="Arial"/>
                <w:b/>
                <w:color w:val="000000" w:themeColor="text1"/>
                <w:sz w:val="20"/>
              </w:rPr>
              <w:t>“Business Day”</w:t>
            </w:r>
          </w:p>
        </w:tc>
        <w:tc>
          <w:tcPr>
            <w:tcW w:w="5954" w:type="dxa"/>
            <w:shd w:val="clear" w:color="auto" w:fill="FFFFFF" w:themeFill="background1"/>
          </w:tcPr>
          <w:p w14:paraId="3041690B" w14:textId="77777777" w:rsidR="00513C9B"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ind w:right="321"/>
              <w:rPr>
                <w:rFonts w:ascii="Arial" w:hAnsi="Arial" w:cs="Arial"/>
                <w:noProof/>
                <w:color w:val="000000" w:themeColor="text1"/>
                <w:w w:val="0"/>
                <w:sz w:val="20"/>
              </w:rPr>
            </w:pPr>
            <w:r w:rsidRPr="00AB6071">
              <w:rPr>
                <w:rFonts w:ascii="Arial" w:hAnsi="Arial" w:cs="Arial"/>
                <w:color w:val="000000" w:themeColor="text1"/>
                <w:sz w:val="20"/>
              </w:rPr>
              <w:t>Means any day (except Saturday or Sunday) on which banks in Ireland are open for business, or such other day or days as may be determined by the Directors and/or the Manager and notified in advance to Shareholders.</w:t>
            </w:r>
          </w:p>
        </w:tc>
      </w:tr>
      <w:tr w:rsidR="00871940" w:rsidRPr="00AB6071" w14:paraId="6FE5BBAB" w14:textId="77777777" w:rsidTr="00871940">
        <w:tc>
          <w:tcPr>
            <w:tcW w:w="3402" w:type="dxa"/>
            <w:shd w:val="clear" w:color="auto" w:fill="FFFFFF" w:themeFill="background1"/>
          </w:tcPr>
          <w:p w14:paraId="2E427940" w14:textId="77777777" w:rsidR="00871940" w:rsidRPr="00AB6071" w:rsidRDefault="00871940"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color w:val="000000" w:themeColor="text1"/>
                <w:sz w:val="20"/>
              </w:rPr>
            </w:pPr>
          </w:p>
        </w:tc>
        <w:tc>
          <w:tcPr>
            <w:tcW w:w="5954" w:type="dxa"/>
            <w:shd w:val="clear" w:color="auto" w:fill="FFFFFF" w:themeFill="background1"/>
          </w:tcPr>
          <w:p w14:paraId="47324DF6" w14:textId="77777777" w:rsidR="00871940" w:rsidRPr="00AB6071" w:rsidRDefault="00871940"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color w:val="000000" w:themeColor="text1"/>
                <w:sz w:val="20"/>
              </w:rPr>
            </w:pPr>
          </w:p>
        </w:tc>
      </w:tr>
      <w:tr w:rsidR="00513C9B" w:rsidRPr="00AB6071" w14:paraId="2C87DA92" w14:textId="77777777" w:rsidTr="00871940">
        <w:tc>
          <w:tcPr>
            <w:tcW w:w="3402" w:type="dxa"/>
            <w:shd w:val="clear" w:color="auto" w:fill="FFFFFF" w:themeFill="background1"/>
          </w:tcPr>
          <w:p w14:paraId="076FEA78" w14:textId="77777777" w:rsidR="00513C9B"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color w:val="000000" w:themeColor="text1"/>
                <w:sz w:val="20"/>
              </w:rPr>
            </w:pPr>
            <w:r w:rsidRPr="00AB6071">
              <w:rPr>
                <w:rFonts w:ascii="Arial" w:hAnsi="Arial" w:cs="Arial"/>
                <w:b/>
                <w:color w:val="000000" w:themeColor="text1"/>
                <w:sz w:val="20"/>
              </w:rPr>
              <w:t>“Dealing Day”</w:t>
            </w:r>
          </w:p>
          <w:p w14:paraId="6B82B796" w14:textId="77777777" w:rsidR="00513C9B" w:rsidRPr="00AB6071" w:rsidRDefault="00513C9B"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noProof/>
                <w:color w:val="000000" w:themeColor="text1"/>
                <w:w w:val="0"/>
                <w:sz w:val="20"/>
              </w:rPr>
            </w:pPr>
          </w:p>
        </w:tc>
        <w:tc>
          <w:tcPr>
            <w:tcW w:w="5954" w:type="dxa"/>
            <w:shd w:val="clear" w:color="auto" w:fill="FFFFFF" w:themeFill="background1"/>
          </w:tcPr>
          <w:p w14:paraId="10C9E5F6" w14:textId="0A0F4B08" w:rsidR="00513C9B"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ind w:right="321"/>
              <w:rPr>
                <w:rFonts w:ascii="Arial" w:hAnsi="Arial" w:cs="Arial"/>
                <w:color w:val="000000" w:themeColor="text1"/>
                <w:sz w:val="20"/>
              </w:rPr>
            </w:pPr>
            <w:r w:rsidRPr="00AB6071">
              <w:rPr>
                <w:rFonts w:ascii="Arial" w:hAnsi="Arial" w:cs="Arial"/>
                <w:color w:val="000000" w:themeColor="text1"/>
                <w:sz w:val="20"/>
              </w:rPr>
              <w:t>Means every Business Day and/or such other day or days as the Directors</w:t>
            </w:r>
            <w:r w:rsidR="00A25953">
              <w:rPr>
                <w:rFonts w:ascii="Arial" w:hAnsi="Arial" w:cs="Arial"/>
                <w:color w:val="000000" w:themeColor="text1"/>
                <w:sz w:val="20"/>
              </w:rPr>
              <w:t xml:space="preserve"> and/or </w:t>
            </w:r>
            <w:r w:rsidR="007861F0">
              <w:rPr>
                <w:rFonts w:ascii="Arial" w:hAnsi="Arial" w:cs="Arial"/>
                <w:color w:val="000000" w:themeColor="text1"/>
                <w:sz w:val="20"/>
              </w:rPr>
              <w:t xml:space="preserve">the </w:t>
            </w:r>
            <w:r w:rsidR="00A25953">
              <w:rPr>
                <w:rFonts w:ascii="Arial" w:hAnsi="Arial" w:cs="Arial"/>
                <w:color w:val="000000" w:themeColor="text1"/>
                <w:sz w:val="20"/>
              </w:rPr>
              <w:t>Manager</w:t>
            </w:r>
            <w:r w:rsidRPr="00AB6071">
              <w:rPr>
                <w:rFonts w:ascii="Arial" w:hAnsi="Arial" w:cs="Arial"/>
                <w:color w:val="000000" w:themeColor="text1"/>
                <w:sz w:val="20"/>
              </w:rPr>
              <w:t xml:space="preserve"> may from time to time determine and notify to Shareholders in advance provided there shall be at least two Dealing Days in each month occurring at regular intervals.</w:t>
            </w:r>
          </w:p>
        </w:tc>
      </w:tr>
      <w:tr w:rsidR="00513C9B" w:rsidRPr="00AB6071" w14:paraId="69AC27CE" w14:textId="77777777" w:rsidTr="00871940">
        <w:tc>
          <w:tcPr>
            <w:tcW w:w="3402" w:type="dxa"/>
            <w:shd w:val="clear" w:color="auto" w:fill="FFFFFF" w:themeFill="background1"/>
          </w:tcPr>
          <w:p w14:paraId="72D8E276" w14:textId="77777777" w:rsidR="00513C9B" w:rsidRPr="00AB6071" w:rsidRDefault="00513C9B"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noProof/>
                <w:color w:val="000000" w:themeColor="text1"/>
                <w:w w:val="0"/>
                <w:sz w:val="20"/>
              </w:rPr>
            </w:pPr>
          </w:p>
        </w:tc>
        <w:tc>
          <w:tcPr>
            <w:tcW w:w="5954" w:type="dxa"/>
            <w:shd w:val="clear" w:color="auto" w:fill="FFFFFF" w:themeFill="background1"/>
          </w:tcPr>
          <w:p w14:paraId="0574B764" w14:textId="77777777" w:rsidR="00513C9B" w:rsidRPr="00AB6071" w:rsidRDefault="00513C9B"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noProof/>
                <w:color w:val="000000" w:themeColor="text1"/>
                <w:w w:val="0"/>
                <w:sz w:val="20"/>
              </w:rPr>
            </w:pPr>
          </w:p>
        </w:tc>
      </w:tr>
      <w:tr w:rsidR="00513C9B" w:rsidRPr="00AB6071" w14:paraId="32BA7C1E" w14:textId="77777777" w:rsidTr="00871940">
        <w:tc>
          <w:tcPr>
            <w:tcW w:w="3402" w:type="dxa"/>
            <w:shd w:val="clear" w:color="auto" w:fill="FFFFFF" w:themeFill="background1"/>
          </w:tcPr>
          <w:p w14:paraId="0C7FF7AF" w14:textId="77777777" w:rsidR="00513C9B"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color w:val="000000" w:themeColor="text1"/>
                <w:sz w:val="20"/>
              </w:rPr>
            </w:pPr>
            <w:r w:rsidRPr="00AB6071">
              <w:rPr>
                <w:rFonts w:ascii="Arial" w:hAnsi="Arial" w:cs="Arial"/>
                <w:b/>
                <w:color w:val="000000" w:themeColor="text1"/>
                <w:sz w:val="20"/>
              </w:rPr>
              <w:t>“Dealing Deadline”</w:t>
            </w:r>
          </w:p>
        </w:tc>
        <w:tc>
          <w:tcPr>
            <w:tcW w:w="5954" w:type="dxa"/>
            <w:shd w:val="clear" w:color="auto" w:fill="FFFFFF" w:themeFill="background1"/>
          </w:tcPr>
          <w:p w14:paraId="53D87983" w14:textId="0B09766B" w:rsidR="00513C9B"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ind w:right="321"/>
              <w:rPr>
                <w:rFonts w:ascii="Arial" w:hAnsi="Arial" w:cs="Arial"/>
                <w:color w:val="000000" w:themeColor="text1"/>
                <w:sz w:val="20"/>
              </w:rPr>
            </w:pPr>
            <w:r w:rsidRPr="00AB6071">
              <w:rPr>
                <w:rFonts w:ascii="Arial" w:hAnsi="Arial" w:cs="Arial"/>
                <w:color w:val="000000" w:themeColor="text1"/>
                <w:sz w:val="20"/>
              </w:rPr>
              <w:t>Means 10.00a.m. (Irish time) on the relevant Dealing Day or such other time as the</w:t>
            </w:r>
            <w:r w:rsidR="00A25953">
              <w:rPr>
                <w:rFonts w:ascii="Arial" w:hAnsi="Arial" w:cs="Arial"/>
                <w:color w:val="000000" w:themeColor="text1"/>
                <w:sz w:val="20"/>
              </w:rPr>
              <w:t xml:space="preserve"> Directors and/or</w:t>
            </w:r>
            <w:r w:rsidR="007861F0">
              <w:rPr>
                <w:rFonts w:ascii="Arial" w:hAnsi="Arial" w:cs="Arial"/>
                <w:color w:val="000000" w:themeColor="text1"/>
                <w:sz w:val="20"/>
              </w:rPr>
              <w:t xml:space="preserve"> the </w:t>
            </w:r>
            <w:r w:rsidR="00A650C7" w:rsidRPr="00AB6071">
              <w:rPr>
                <w:rFonts w:ascii="Arial" w:hAnsi="Arial" w:cs="Arial"/>
                <w:color w:val="000000" w:themeColor="text1"/>
                <w:sz w:val="20"/>
              </w:rPr>
              <w:t xml:space="preserve">Manager </w:t>
            </w:r>
            <w:r w:rsidRPr="00AB6071">
              <w:rPr>
                <w:rFonts w:ascii="Arial" w:hAnsi="Arial" w:cs="Arial"/>
                <w:color w:val="000000" w:themeColor="text1"/>
                <w:sz w:val="20"/>
              </w:rPr>
              <w:t>may determine and notify to Shareholders provided always that the Dealing Deadline is no later than the Valuation Point.</w:t>
            </w:r>
          </w:p>
        </w:tc>
      </w:tr>
      <w:tr w:rsidR="00871940" w:rsidRPr="00AB6071" w14:paraId="34E007E6" w14:textId="77777777" w:rsidTr="00871940">
        <w:tc>
          <w:tcPr>
            <w:tcW w:w="3402" w:type="dxa"/>
            <w:shd w:val="clear" w:color="auto" w:fill="FFFFFF" w:themeFill="background1"/>
          </w:tcPr>
          <w:p w14:paraId="47BA3D18" w14:textId="77777777" w:rsidR="00871940" w:rsidRPr="00AB6071" w:rsidRDefault="00871940"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color w:val="000000" w:themeColor="text1"/>
                <w:sz w:val="20"/>
              </w:rPr>
            </w:pPr>
          </w:p>
        </w:tc>
        <w:tc>
          <w:tcPr>
            <w:tcW w:w="5954" w:type="dxa"/>
            <w:shd w:val="clear" w:color="auto" w:fill="FFFFFF" w:themeFill="background1"/>
          </w:tcPr>
          <w:p w14:paraId="4EC69F74" w14:textId="77777777" w:rsidR="00871940" w:rsidRPr="00AB6071" w:rsidRDefault="00871940"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ind w:right="-108"/>
              <w:rPr>
                <w:rFonts w:ascii="Arial" w:hAnsi="Arial" w:cs="Arial"/>
                <w:sz w:val="20"/>
              </w:rPr>
            </w:pPr>
          </w:p>
        </w:tc>
      </w:tr>
      <w:tr w:rsidR="00513C9B" w:rsidRPr="00AB6071" w14:paraId="2C899811" w14:textId="77777777" w:rsidTr="00871940">
        <w:tc>
          <w:tcPr>
            <w:tcW w:w="3402" w:type="dxa"/>
            <w:shd w:val="clear" w:color="auto" w:fill="FFFFFF" w:themeFill="background1"/>
          </w:tcPr>
          <w:p w14:paraId="0A329030" w14:textId="77777777" w:rsidR="00513C9B"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rPr>
                <w:rFonts w:ascii="Arial" w:hAnsi="Arial" w:cs="Arial"/>
                <w:b/>
                <w:color w:val="000000" w:themeColor="text1"/>
                <w:sz w:val="20"/>
              </w:rPr>
            </w:pPr>
            <w:r w:rsidRPr="00AB6071">
              <w:rPr>
                <w:rFonts w:ascii="Arial" w:hAnsi="Arial" w:cs="Arial"/>
                <w:b/>
                <w:color w:val="000000" w:themeColor="text1"/>
                <w:sz w:val="20"/>
              </w:rPr>
              <w:t>“Valuation Point”</w:t>
            </w:r>
          </w:p>
        </w:tc>
        <w:tc>
          <w:tcPr>
            <w:tcW w:w="5954" w:type="dxa"/>
            <w:shd w:val="clear" w:color="auto" w:fill="FFFFFF" w:themeFill="background1"/>
          </w:tcPr>
          <w:p w14:paraId="50D23D61" w14:textId="04760939" w:rsidR="005E4EC9" w:rsidRPr="00AB6071" w:rsidRDefault="00424751" w:rsidP="00AB6071">
            <w:pPr>
              <w:tabs>
                <w:tab w:val="left" w:pos="0"/>
                <w:tab w:val="left" w:pos="576"/>
                <w:tab w:val="left" w:pos="1218"/>
                <w:tab w:val="left" w:pos="1530"/>
                <w:tab w:val="left" w:pos="2250"/>
                <w:tab w:val="left" w:pos="3666"/>
                <w:tab w:val="left" w:pos="4818"/>
                <w:tab w:val="left" w:pos="7770"/>
                <w:tab w:val="left" w:pos="7890"/>
                <w:tab w:val="left" w:pos="7920"/>
                <w:tab w:val="left" w:pos="8640"/>
              </w:tabs>
              <w:spacing w:line="288" w:lineRule="auto"/>
              <w:ind w:right="321"/>
              <w:rPr>
                <w:rFonts w:ascii="Arial" w:hAnsi="Arial" w:cs="Arial"/>
                <w:color w:val="000000" w:themeColor="text1"/>
                <w:sz w:val="20"/>
              </w:rPr>
            </w:pPr>
            <w:r w:rsidRPr="00AB6071">
              <w:rPr>
                <w:rFonts w:ascii="Arial" w:hAnsi="Arial" w:cs="Arial"/>
                <w:sz w:val="20"/>
              </w:rPr>
              <w:t xml:space="preserve">Means </w:t>
            </w:r>
            <w:r w:rsidR="005E4EC9" w:rsidRPr="00AB6071">
              <w:rPr>
                <w:rFonts w:ascii="Arial" w:hAnsi="Arial" w:cs="Arial"/>
                <w:sz w:val="20"/>
              </w:rPr>
              <w:t xml:space="preserve">5.00 p.m. (New York Time) </w:t>
            </w:r>
            <w:r w:rsidRPr="00AB6071">
              <w:rPr>
                <w:rFonts w:ascii="Arial" w:hAnsi="Arial" w:cs="Arial"/>
                <w:sz w:val="20"/>
              </w:rPr>
              <w:t>on each Dealing Day (or such other time as the Directors</w:t>
            </w:r>
            <w:r w:rsidR="00A25953">
              <w:rPr>
                <w:rFonts w:ascii="Arial" w:hAnsi="Arial" w:cs="Arial"/>
                <w:sz w:val="20"/>
              </w:rPr>
              <w:t xml:space="preserve"> and/or </w:t>
            </w:r>
            <w:r w:rsidR="007861F0">
              <w:rPr>
                <w:rFonts w:ascii="Arial" w:hAnsi="Arial" w:cs="Arial"/>
                <w:sz w:val="20"/>
              </w:rPr>
              <w:t xml:space="preserve">the </w:t>
            </w:r>
            <w:r w:rsidR="00A25953">
              <w:rPr>
                <w:rFonts w:ascii="Arial" w:hAnsi="Arial" w:cs="Arial"/>
                <w:sz w:val="20"/>
              </w:rPr>
              <w:t>Manager</w:t>
            </w:r>
            <w:r w:rsidRPr="00AB6071">
              <w:rPr>
                <w:rFonts w:ascii="Arial" w:hAnsi="Arial" w:cs="Arial"/>
                <w:sz w:val="20"/>
              </w:rPr>
              <w:t xml:space="preserve"> may in their discretion determine and notify to Shareholders in advance); provided always that the Valuation Point shall be after the Dealing Deadline.</w:t>
            </w:r>
          </w:p>
        </w:tc>
      </w:tr>
    </w:tbl>
    <w:p w14:paraId="5170F2A1" w14:textId="77777777" w:rsidR="00871940" w:rsidRPr="00AB6071" w:rsidRDefault="00871940" w:rsidP="00AB6071">
      <w:pPr>
        <w:spacing w:line="288" w:lineRule="auto"/>
        <w:outlineLvl w:val="0"/>
        <w:rPr>
          <w:rFonts w:ascii="Arial" w:hAnsi="Arial" w:cs="Arial"/>
          <w:color w:val="000000" w:themeColor="text1"/>
          <w:sz w:val="20"/>
        </w:rPr>
      </w:pPr>
    </w:p>
    <w:p w14:paraId="65025210" w14:textId="50B88270"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All other defined terms used in this Supplement shall have the same meaning as in the Prospectus.</w:t>
      </w:r>
    </w:p>
    <w:p w14:paraId="2513248E" w14:textId="77777777" w:rsidR="00513C9B" w:rsidRPr="00AB6071" w:rsidRDefault="00513C9B" w:rsidP="00AB6071">
      <w:pPr>
        <w:spacing w:line="288" w:lineRule="auto"/>
        <w:rPr>
          <w:rFonts w:ascii="Arial" w:hAnsi="Arial" w:cs="Arial"/>
          <w:color w:val="000000" w:themeColor="text1"/>
          <w:sz w:val="20"/>
        </w:rPr>
      </w:pPr>
    </w:p>
    <w:p w14:paraId="6A6E0EE9" w14:textId="77777777"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b/>
          <w:color w:val="000000" w:themeColor="text1"/>
          <w:sz w:val="20"/>
        </w:rPr>
        <w:t>Available Classes:</w:t>
      </w: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p>
    <w:tbl>
      <w:tblPr>
        <w:tblStyle w:val="TableGrid"/>
        <w:tblW w:w="0" w:type="auto"/>
        <w:tblInd w:w="3539" w:type="dxa"/>
        <w:tblLayout w:type="fixed"/>
        <w:tblLook w:val="04A0" w:firstRow="1" w:lastRow="0" w:firstColumn="1" w:lastColumn="0" w:noHBand="0" w:noVBand="1"/>
      </w:tblPr>
      <w:tblGrid>
        <w:gridCol w:w="1843"/>
        <w:gridCol w:w="1417"/>
      </w:tblGrid>
      <w:tr w:rsidR="005914F8" w:rsidRPr="00AB6071" w14:paraId="28FC5C06" w14:textId="77777777">
        <w:tc>
          <w:tcPr>
            <w:tcW w:w="1843" w:type="dxa"/>
            <w:shd w:val="clear" w:color="auto" w:fill="BFBFBF" w:themeFill="background1" w:themeFillShade="BF"/>
          </w:tcPr>
          <w:p w14:paraId="1B3EEABF" w14:textId="6450B8DA" w:rsidR="005914F8" w:rsidRPr="00AB6071" w:rsidRDefault="005914F8" w:rsidP="00AB6071">
            <w:pPr>
              <w:spacing w:line="288" w:lineRule="auto"/>
              <w:outlineLvl w:val="0"/>
              <w:rPr>
                <w:rFonts w:ascii="Arial" w:hAnsi="Arial" w:cs="Arial"/>
                <w:color w:val="000000" w:themeColor="text1"/>
                <w:sz w:val="20"/>
              </w:rPr>
            </w:pPr>
            <w:bookmarkStart w:id="1" w:name="_Hlk527101052"/>
            <w:r w:rsidRPr="00AB6071">
              <w:rPr>
                <w:rFonts w:ascii="Arial" w:hAnsi="Arial" w:cs="Arial"/>
                <w:color w:val="000000" w:themeColor="text1"/>
                <w:sz w:val="20"/>
              </w:rPr>
              <w:t>Class</w:t>
            </w:r>
          </w:p>
        </w:tc>
        <w:tc>
          <w:tcPr>
            <w:tcW w:w="1417" w:type="dxa"/>
            <w:shd w:val="clear" w:color="auto" w:fill="BFBFBF" w:themeFill="background1" w:themeFillShade="BF"/>
          </w:tcPr>
          <w:p w14:paraId="57C05CA7" w14:textId="2F7B2B32"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Currency</w:t>
            </w:r>
          </w:p>
        </w:tc>
      </w:tr>
      <w:tr w:rsidR="005914F8" w:rsidRPr="00AB6071" w14:paraId="35D0D1C3" w14:textId="77777777">
        <w:tc>
          <w:tcPr>
            <w:tcW w:w="1843" w:type="dxa"/>
            <w:vAlign w:val="center"/>
          </w:tcPr>
          <w:p w14:paraId="74632100" w14:textId="430C27DA"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sz w:val="20"/>
              </w:rPr>
              <w:t>Class A</w:t>
            </w:r>
          </w:p>
        </w:tc>
        <w:tc>
          <w:tcPr>
            <w:tcW w:w="1417" w:type="dxa"/>
          </w:tcPr>
          <w:p w14:paraId="19F60080" w14:textId="77777777"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r>
      <w:tr w:rsidR="005914F8" w:rsidRPr="00AB6071" w14:paraId="7E8E4C06" w14:textId="77777777">
        <w:tc>
          <w:tcPr>
            <w:tcW w:w="1843" w:type="dxa"/>
            <w:vAlign w:val="center"/>
          </w:tcPr>
          <w:p w14:paraId="270C006E" w14:textId="24CAEAED"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B </w:t>
            </w:r>
          </w:p>
        </w:tc>
        <w:tc>
          <w:tcPr>
            <w:tcW w:w="1417" w:type="dxa"/>
          </w:tcPr>
          <w:p w14:paraId="12794698" w14:textId="77777777"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r>
      <w:tr w:rsidR="005914F8" w:rsidRPr="00AB6071" w14:paraId="53B603CD" w14:textId="77777777">
        <w:tc>
          <w:tcPr>
            <w:tcW w:w="1843" w:type="dxa"/>
            <w:vAlign w:val="center"/>
          </w:tcPr>
          <w:p w14:paraId="34077772" w14:textId="7C4E7361"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C </w:t>
            </w:r>
          </w:p>
        </w:tc>
        <w:tc>
          <w:tcPr>
            <w:tcW w:w="1417" w:type="dxa"/>
          </w:tcPr>
          <w:p w14:paraId="1D7E0E3B" w14:textId="77777777"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r>
      <w:tr w:rsidR="005914F8" w:rsidRPr="00AB6071" w14:paraId="7EEE3ED3" w14:textId="77777777">
        <w:tc>
          <w:tcPr>
            <w:tcW w:w="1843" w:type="dxa"/>
            <w:vAlign w:val="center"/>
          </w:tcPr>
          <w:p w14:paraId="08BCAB0A" w14:textId="3BF45296"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D </w:t>
            </w:r>
          </w:p>
        </w:tc>
        <w:tc>
          <w:tcPr>
            <w:tcW w:w="1417" w:type="dxa"/>
          </w:tcPr>
          <w:p w14:paraId="48FA50C2" w14:textId="59C67D04"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ZAR</w:t>
            </w:r>
          </w:p>
        </w:tc>
      </w:tr>
      <w:tr w:rsidR="005914F8" w:rsidRPr="00AB6071" w14:paraId="1E8154A4" w14:textId="77777777">
        <w:tc>
          <w:tcPr>
            <w:tcW w:w="1843" w:type="dxa"/>
            <w:vAlign w:val="center"/>
          </w:tcPr>
          <w:p w14:paraId="20F4F9D0" w14:textId="63C2ED27" w:rsidR="005914F8" w:rsidRPr="00AB6071" w:rsidRDefault="005914F8" w:rsidP="00AB6071">
            <w:pPr>
              <w:spacing w:line="288" w:lineRule="auto"/>
              <w:outlineLvl w:val="0"/>
              <w:rPr>
                <w:rFonts w:ascii="Arial" w:hAnsi="Arial" w:cs="Arial"/>
                <w:color w:val="000000"/>
                <w:sz w:val="20"/>
              </w:rPr>
            </w:pPr>
            <w:r w:rsidRPr="00AB6071">
              <w:rPr>
                <w:rFonts w:ascii="Arial" w:hAnsi="Arial" w:cs="Arial"/>
                <w:color w:val="000000"/>
                <w:sz w:val="20"/>
              </w:rPr>
              <w:t>Class E</w:t>
            </w:r>
          </w:p>
        </w:tc>
        <w:tc>
          <w:tcPr>
            <w:tcW w:w="1417" w:type="dxa"/>
          </w:tcPr>
          <w:p w14:paraId="71206498" w14:textId="77777777" w:rsidR="005914F8" w:rsidRPr="00AB6071" w:rsidRDefault="005914F8"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r>
      <w:tr w:rsidR="00B96169" w:rsidRPr="00AB6071" w14:paraId="3E518AF7" w14:textId="77777777">
        <w:tc>
          <w:tcPr>
            <w:tcW w:w="1843" w:type="dxa"/>
            <w:vAlign w:val="center"/>
          </w:tcPr>
          <w:p w14:paraId="0F194DC6" w14:textId="72A90541" w:rsidR="00B96169" w:rsidRPr="00AB6071" w:rsidRDefault="00B96169" w:rsidP="00AB6071">
            <w:pPr>
              <w:spacing w:line="288" w:lineRule="auto"/>
              <w:outlineLvl w:val="0"/>
              <w:rPr>
                <w:rFonts w:ascii="Arial" w:hAnsi="Arial" w:cs="Arial"/>
                <w:color w:val="000000"/>
                <w:sz w:val="20"/>
              </w:rPr>
            </w:pPr>
            <w:r>
              <w:rPr>
                <w:rFonts w:ascii="Arial" w:hAnsi="Arial" w:cs="Arial"/>
                <w:color w:val="000000"/>
                <w:sz w:val="20"/>
              </w:rPr>
              <w:t>Class F</w:t>
            </w:r>
          </w:p>
        </w:tc>
        <w:tc>
          <w:tcPr>
            <w:tcW w:w="1417" w:type="dxa"/>
          </w:tcPr>
          <w:p w14:paraId="58C951BC" w14:textId="75CFAEAE" w:rsidR="00B96169" w:rsidRPr="00AB6071" w:rsidRDefault="00B96169" w:rsidP="00AB6071">
            <w:pPr>
              <w:spacing w:line="288" w:lineRule="auto"/>
              <w:outlineLvl w:val="0"/>
              <w:rPr>
                <w:rFonts w:ascii="Arial" w:hAnsi="Arial" w:cs="Arial"/>
                <w:color w:val="000000" w:themeColor="text1"/>
                <w:sz w:val="20"/>
              </w:rPr>
            </w:pPr>
            <w:r>
              <w:rPr>
                <w:rFonts w:ascii="Arial" w:hAnsi="Arial" w:cs="Arial"/>
                <w:color w:val="000000" w:themeColor="text1"/>
                <w:sz w:val="20"/>
              </w:rPr>
              <w:t>ZAR</w:t>
            </w:r>
          </w:p>
        </w:tc>
      </w:tr>
      <w:bookmarkEnd w:id="1"/>
    </w:tbl>
    <w:p w14:paraId="43F8E163" w14:textId="77777777" w:rsidR="00513C9B" w:rsidRPr="00AB6071" w:rsidRDefault="00513C9B" w:rsidP="00AB6071">
      <w:pPr>
        <w:spacing w:line="288" w:lineRule="auto"/>
        <w:outlineLvl w:val="0"/>
        <w:rPr>
          <w:rFonts w:ascii="Arial" w:hAnsi="Arial" w:cs="Arial"/>
          <w:color w:val="000000" w:themeColor="text1"/>
          <w:sz w:val="20"/>
        </w:rPr>
      </w:pPr>
    </w:p>
    <w:p w14:paraId="7805B5C7" w14:textId="326FA9DD" w:rsidR="00513C9B" w:rsidRPr="00AB6071" w:rsidRDefault="00424751" w:rsidP="00AB6071">
      <w:pPr>
        <w:spacing w:line="288" w:lineRule="auto"/>
        <w:ind w:left="3544"/>
        <w:rPr>
          <w:rFonts w:ascii="Arial" w:hAnsi="Arial" w:cs="Arial"/>
          <w:color w:val="000000" w:themeColor="text1"/>
          <w:sz w:val="20"/>
          <w:lang w:eastAsia="en-IE"/>
        </w:rPr>
      </w:pPr>
      <w:r w:rsidRPr="00AB6071">
        <w:rPr>
          <w:rFonts w:ascii="Arial" w:hAnsi="Arial" w:cs="Arial"/>
          <w:color w:val="000000" w:themeColor="text1"/>
          <w:sz w:val="20"/>
          <w:lang w:eastAsia="en-IE"/>
        </w:rPr>
        <w:t xml:space="preserve">Class </w:t>
      </w:r>
      <w:r w:rsidR="0051217B" w:rsidRPr="00AB6071">
        <w:rPr>
          <w:rFonts w:ascii="Arial" w:hAnsi="Arial" w:cs="Arial"/>
          <w:color w:val="000000" w:themeColor="text1"/>
          <w:sz w:val="20"/>
          <w:lang w:eastAsia="en-IE"/>
        </w:rPr>
        <w:t xml:space="preserve">C and D </w:t>
      </w:r>
      <w:r w:rsidRPr="00AB6071">
        <w:rPr>
          <w:rFonts w:ascii="Arial" w:hAnsi="Arial" w:cs="Arial"/>
          <w:color w:val="000000" w:themeColor="text1"/>
          <w:sz w:val="20"/>
          <w:lang w:eastAsia="en-IE"/>
        </w:rPr>
        <w:t xml:space="preserve">Shares are available only to investors (whether institutional or individual clients) who maintain a discretionary investment management agreement or other similar investment management agreement with the Investment Manager </w:t>
      </w:r>
      <w:r w:rsidR="0051217B" w:rsidRPr="00AB6071">
        <w:rPr>
          <w:rFonts w:ascii="Arial" w:hAnsi="Arial" w:cs="Arial"/>
          <w:color w:val="000000" w:themeColor="text1"/>
          <w:sz w:val="20"/>
          <w:lang w:eastAsia="en-IE"/>
        </w:rPr>
        <w:t xml:space="preserve">(or an entity related to the Investment Manager) </w:t>
      </w:r>
      <w:r w:rsidRPr="00AB6071">
        <w:rPr>
          <w:rFonts w:ascii="Arial" w:hAnsi="Arial" w:cs="Arial"/>
          <w:color w:val="000000" w:themeColor="text1"/>
          <w:sz w:val="20"/>
          <w:lang w:eastAsia="en-IE"/>
        </w:rPr>
        <w:t xml:space="preserve">and who the Directors or the Manager deem appropriate for subscription into those classes. The Directors or the Manager shall determine, in their discretion, an investor’s eligibility to subscribe for Class </w:t>
      </w:r>
      <w:r w:rsidR="0051217B" w:rsidRPr="00AB6071">
        <w:rPr>
          <w:rFonts w:ascii="Arial" w:hAnsi="Arial" w:cs="Arial"/>
          <w:color w:val="000000" w:themeColor="text1"/>
          <w:sz w:val="20"/>
          <w:lang w:eastAsia="en-IE"/>
        </w:rPr>
        <w:t xml:space="preserve">C and D </w:t>
      </w:r>
      <w:r w:rsidRPr="00AB6071">
        <w:rPr>
          <w:rFonts w:ascii="Arial" w:hAnsi="Arial" w:cs="Arial"/>
          <w:color w:val="000000" w:themeColor="text1"/>
          <w:sz w:val="20"/>
          <w:lang w:eastAsia="en-IE"/>
        </w:rPr>
        <w:t xml:space="preserve">Shares. The Directors or the </w:t>
      </w:r>
      <w:r w:rsidRPr="00AB6071">
        <w:rPr>
          <w:rFonts w:ascii="Arial" w:hAnsi="Arial" w:cs="Arial"/>
          <w:color w:val="000000" w:themeColor="text1"/>
          <w:sz w:val="20"/>
          <w:lang w:eastAsia="en-IE"/>
        </w:rPr>
        <w:lastRenderedPageBreak/>
        <w:t>Manager have the right at their discretion to waive this restriction at any time.</w:t>
      </w:r>
    </w:p>
    <w:p w14:paraId="0E1B8B7B" w14:textId="77777777" w:rsidR="00513C9B" w:rsidRPr="00AB6071" w:rsidRDefault="00513C9B" w:rsidP="00AB6071">
      <w:pPr>
        <w:spacing w:line="288" w:lineRule="auto"/>
        <w:ind w:left="2880"/>
        <w:rPr>
          <w:rFonts w:ascii="Arial" w:hAnsi="Arial" w:cs="Arial"/>
          <w:color w:val="000000" w:themeColor="text1"/>
          <w:sz w:val="20"/>
          <w:lang w:eastAsia="en-IE"/>
        </w:rPr>
      </w:pPr>
    </w:p>
    <w:p w14:paraId="51C2AEA5" w14:textId="3134422B" w:rsidR="00513C9B" w:rsidRPr="00AB6071" w:rsidRDefault="00424751" w:rsidP="00AB6071">
      <w:pPr>
        <w:tabs>
          <w:tab w:val="left" w:pos="3544"/>
        </w:tabs>
        <w:spacing w:line="288" w:lineRule="auto"/>
        <w:rPr>
          <w:rFonts w:ascii="Arial" w:hAnsi="Arial" w:cs="Arial"/>
          <w:color w:val="000000" w:themeColor="text1"/>
          <w:sz w:val="20"/>
        </w:rPr>
      </w:pPr>
      <w:r w:rsidRPr="00AB6071">
        <w:rPr>
          <w:rFonts w:ascii="Arial" w:hAnsi="Arial" w:cs="Arial"/>
          <w:b/>
          <w:color w:val="000000" w:themeColor="text1"/>
          <w:sz w:val="20"/>
        </w:rPr>
        <w:t>Base Currency:</w:t>
      </w:r>
      <w:r w:rsidRPr="00AB6071">
        <w:rPr>
          <w:rFonts w:ascii="Arial" w:hAnsi="Arial" w:cs="Arial"/>
          <w:color w:val="000000" w:themeColor="text1"/>
          <w:sz w:val="20"/>
        </w:rPr>
        <w:tab/>
        <w:t>USD</w:t>
      </w:r>
      <w:r w:rsidR="004A05FC" w:rsidRPr="00AB6071">
        <w:rPr>
          <w:rFonts w:ascii="Arial" w:hAnsi="Arial" w:cs="Arial"/>
          <w:color w:val="000000" w:themeColor="text1"/>
          <w:sz w:val="20"/>
        </w:rPr>
        <w:t>.</w:t>
      </w:r>
    </w:p>
    <w:p w14:paraId="137DF005" w14:textId="0843E7D3" w:rsidR="001B0285" w:rsidRPr="00AB6071" w:rsidRDefault="001B0285" w:rsidP="00AB6071">
      <w:pPr>
        <w:spacing w:line="288" w:lineRule="auto"/>
        <w:rPr>
          <w:rFonts w:ascii="Arial" w:hAnsi="Arial" w:cs="Arial"/>
          <w:b/>
          <w:color w:val="000000" w:themeColor="text1"/>
          <w:sz w:val="20"/>
        </w:rPr>
      </w:pPr>
    </w:p>
    <w:p w14:paraId="3BAA310D" w14:textId="77777777" w:rsidR="00513C9B" w:rsidRPr="00AB6071" w:rsidRDefault="00424751" w:rsidP="00AB6071">
      <w:pPr>
        <w:spacing w:line="288" w:lineRule="auto"/>
        <w:rPr>
          <w:rFonts w:ascii="Arial" w:hAnsi="Arial" w:cs="Arial"/>
          <w:b/>
          <w:color w:val="000000" w:themeColor="text1"/>
          <w:sz w:val="20"/>
        </w:rPr>
      </w:pPr>
      <w:r w:rsidRPr="00AB6071">
        <w:rPr>
          <w:rFonts w:ascii="Arial" w:hAnsi="Arial" w:cs="Arial"/>
          <w:b/>
          <w:color w:val="000000" w:themeColor="text1"/>
          <w:sz w:val="20"/>
        </w:rPr>
        <w:t>Minimum Subscription &amp; Minimum</w:t>
      </w:r>
    </w:p>
    <w:p w14:paraId="0B28A2EE" w14:textId="77777777" w:rsidR="00513C9B" w:rsidRPr="00AB6071" w:rsidRDefault="00424751" w:rsidP="00AB6071">
      <w:pPr>
        <w:spacing w:line="288" w:lineRule="auto"/>
        <w:rPr>
          <w:rFonts w:ascii="Arial" w:hAnsi="Arial" w:cs="Arial"/>
          <w:color w:val="000000" w:themeColor="text1"/>
          <w:sz w:val="20"/>
        </w:rPr>
      </w:pPr>
      <w:r w:rsidRPr="00AB6071">
        <w:rPr>
          <w:rFonts w:ascii="Arial" w:hAnsi="Arial" w:cs="Arial"/>
          <w:b/>
          <w:color w:val="000000" w:themeColor="text1"/>
          <w:sz w:val="20"/>
        </w:rPr>
        <w:t>Holding:</w:t>
      </w: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p>
    <w:p w14:paraId="30FF4AD2" w14:textId="77777777" w:rsidR="00513C9B" w:rsidRPr="00AB6071" w:rsidRDefault="00424751" w:rsidP="00AB6071">
      <w:pPr>
        <w:spacing w:line="288" w:lineRule="auto"/>
        <w:ind w:left="2824" w:firstLine="720"/>
        <w:rPr>
          <w:rFonts w:ascii="Arial" w:hAnsi="Arial" w:cs="Arial"/>
          <w:color w:val="000000" w:themeColor="text1"/>
          <w:sz w:val="20"/>
        </w:rPr>
      </w:pPr>
      <w:r w:rsidRPr="00AB6071">
        <w:rPr>
          <w:rFonts w:ascii="Arial" w:hAnsi="Arial" w:cs="Arial"/>
          <w:b/>
          <w:color w:val="000000" w:themeColor="text1"/>
          <w:sz w:val="20"/>
        </w:rPr>
        <w:t>Class A</w:t>
      </w:r>
    </w:p>
    <w:p w14:paraId="4CE62345" w14:textId="77777777" w:rsidR="00513C9B" w:rsidRPr="00AB6071" w:rsidRDefault="00513C9B" w:rsidP="00AB6071">
      <w:pPr>
        <w:spacing w:line="288" w:lineRule="auto"/>
        <w:rPr>
          <w:rFonts w:ascii="Arial" w:hAnsi="Arial" w:cs="Arial"/>
          <w:color w:val="000000" w:themeColor="text1"/>
          <w:sz w:val="20"/>
        </w:rPr>
      </w:pPr>
    </w:p>
    <w:p w14:paraId="33E3E4C2" w14:textId="4B5D8E97" w:rsidR="00513C9B" w:rsidRPr="00AB6071" w:rsidRDefault="00424751" w:rsidP="00AB6071">
      <w:pPr>
        <w:spacing w:line="288" w:lineRule="auto"/>
        <w:ind w:left="3544"/>
        <w:rPr>
          <w:rFonts w:ascii="Arial" w:hAnsi="Arial" w:cs="Arial"/>
          <w:sz w:val="20"/>
        </w:rPr>
      </w:pPr>
      <w:r w:rsidRPr="00AB6071">
        <w:rPr>
          <w:rFonts w:ascii="Arial" w:hAnsi="Arial" w:cs="Arial"/>
          <w:color w:val="000000"/>
          <w:sz w:val="20"/>
        </w:rPr>
        <w:t xml:space="preserve">USD </w:t>
      </w:r>
      <w:r w:rsidR="0036466B" w:rsidRPr="00AB6071">
        <w:rPr>
          <w:rFonts w:ascii="Arial" w:hAnsi="Arial" w:cs="Arial"/>
          <w:color w:val="000000"/>
          <w:sz w:val="20"/>
        </w:rPr>
        <w:t>1,000</w:t>
      </w:r>
      <w:r w:rsidRPr="00AB6071">
        <w:rPr>
          <w:rFonts w:ascii="Arial" w:hAnsi="Arial" w:cs="Arial"/>
          <w:color w:val="000000"/>
          <w:sz w:val="20"/>
        </w:rPr>
        <w:t xml:space="preserve">. The Directors </w:t>
      </w:r>
      <w:r w:rsidRPr="00AB6071">
        <w:rPr>
          <w:rFonts w:ascii="Arial" w:hAnsi="Arial" w:cs="Arial"/>
          <w:color w:val="000000"/>
          <w:sz w:val="20"/>
          <w:lang w:val="en-US" w:eastAsia="en-GB"/>
        </w:rPr>
        <w:t xml:space="preserve">and/or the Manager </w:t>
      </w:r>
      <w:r w:rsidRPr="00AB6071">
        <w:rPr>
          <w:rFonts w:ascii="Arial" w:hAnsi="Arial" w:cs="Arial"/>
          <w:color w:val="000000"/>
          <w:sz w:val="20"/>
        </w:rPr>
        <w:t>have the right at their discretion to waive this restriction at any time,</w:t>
      </w:r>
      <w:r w:rsidRPr="00AB6071">
        <w:rPr>
          <w:rFonts w:ascii="Arial" w:hAnsi="Arial" w:cs="Arial"/>
          <w:sz w:val="20"/>
        </w:rPr>
        <w:t xml:space="preserve"> </w:t>
      </w:r>
      <w:r w:rsidRPr="00AB6071">
        <w:rPr>
          <w:rFonts w:ascii="Arial" w:hAnsi="Arial" w:cs="Arial"/>
          <w:color w:val="000000"/>
          <w:sz w:val="20"/>
        </w:rPr>
        <w:t>provided that Shareholders in the same position in the same Class shall be treated equally and fairly.</w:t>
      </w:r>
      <w:r w:rsidRPr="00AB6071">
        <w:rPr>
          <w:rFonts w:ascii="Arial" w:hAnsi="Arial" w:cs="Arial"/>
          <w:sz w:val="20"/>
        </w:rPr>
        <w:t xml:space="preserve"> </w:t>
      </w:r>
    </w:p>
    <w:p w14:paraId="48CBC662" w14:textId="77777777" w:rsidR="00513C9B" w:rsidRPr="00AB6071" w:rsidRDefault="00513C9B" w:rsidP="00AB6071">
      <w:pPr>
        <w:spacing w:line="288" w:lineRule="auto"/>
        <w:ind w:left="3544"/>
        <w:rPr>
          <w:rFonts w:ascii="Arial" w:hAnsi="Arial" w:cs="Arial"/>
          <w:sz w:val="20"/>
        </w:rPr>
      </w:pPr>
    </w:p>
    <w:p w14:paraId="4C868A9F" w14:textId="0C428D8B" w:rsidR="00513C9B" w:rsidRPr="00AB6071" w:rsidRDefault="00424751" w:rsidP="00AB6071">
      <w:pPr>
        <w:tabs>
          <w:tab w:val="left" w:pos="3544"/>
        </w:tabs>
        <w:spacing w:line="288" w:lineRule="auto"/>
        <w:rPr>
          <w:rFonts w:ascii="Arial" w:hAnsi="Arial" w:cs="Arial"/>
          <w:b/>
          <w:color w:val="000000" w:themeColor="text1"/>
          <w:sz w:val="20"/>
        </w:rPr>
      </w:pPr>
      <w:r w:rsidRPr="00AB6071">
        <w:rPr>
          <w:rFonts w:ascii="Arial" w:hAnsi="Arial" w:cs="Arial"/>
          <w:color w:val="000000" w:themeColor="text1"/>
          <w:sz w:val="20"/>
        </w:rPr>
        <w:tab/>
      </w:r>
      <w:r w:rsidRPr="00AB6071">
        <w:rPr>
          <w:rFonts w:ascii="Arial" w:hAnsi="Arial" w:cs="Arial"/>
          <w:b/>
          <w:color w:val="000000" w:themeColor="text1"/>
          <w:sz w:val="20"/>
        </w:rPr>
        <w:t xml:space="preserve">Class B </w:t>
      </w:r>
    </w:p>
    <w:p w14:paraId="6080DA9D" w14:textId="77777777" w:rsidR="00513C9B" w:rsidRPr="00AB6071" w:rsidRDefault="00513C9B" w:rsidP="00AB6071">
      <w:pPr>
        <w:spacing w:line="288" w:lineRule="auto"/>
        <w:rPr>
          <w:rFonts w:ascii="Arial" w:hAnsi="Arial" w:cs="Arial"/>
          <w:color w:val="000000" w:themeColor="text1"/>
          <w:sz w:val="20"/>
        </w:rPr>
      </w:pPr>
    </w:p>
    <w:p w14:paraId="56BC7C3B" w14:textId="5F340514" w:rsidR="0051217B" w:rsidRPr="00AB6071" w:rsidRDefault="00424751"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USD </w:t>
      </w:r>
      <w:r w:rsidR="0036466B" w:rsidRPr="00AB6071">
        <w:rPr>
          <w:rFonts w:ascii="Arial" w:hAnsi="Arial" w:cs="Arial"/>
          <w:color w:val="000000" w:themeColor="text1"/>
          <w:sz w:val="20"/>
        </w:rPr>
        <w:t>1,000</w:t>
      </w:r>
      <w:r w:rsidRPr="00AB6071">
        <w:rPr>
          <w:rFonts w:ascii="Arial" w:hAnsi="Arial" w:cs="Arial"/>
          <w:color w:val="000000" w:themeColor="text1"/>
          <w:sz w:val="20"/>
        </w:rPr>
        <w:t xml:space="preserve">. The Directors </w:t>
      </w:r>
      <w:r w:rsidRPr="00AB6071">
        <w:rPr>
          <w:rFonts w:ascii="Arial" w:hAnsi="Arial" w:cs="Arial"/>
          <w:color w:val="000000" w:themeColor="text1"/>
          <w:sz w:val="20"/>
          <w:lang w:val="en-US"/>
        </w:rPr>
        <w:t xml:space="preserve">and/or the Manager </w:t>
      </w:r>
      <w:r w:rsidRPr="00AB6071">
        <w:rPr>
          <w:rFonts w:ascii="Arial" w:hAnsi="Arial" w:cs="Arial"/>
          <w:color w:val="000000" w:themeColor="text1"/>
          <w:sz w:val="20"/>
        </w:rPr>
        <w:t xml:space="preserve">have the right at their discretion to waive this restriction at any time, provided that Shareholders in the same position in the same Class shall be treated equally and fairly. </w:t>
      </w:r>
    </w:p>
    <w:p w14:paraId="08CB8353" w14:textId="77777777" w:rsidR="0051217B" w:rsidRPr="00AB6071" w:rsidRDefault="0051217B" w:rsidP="00AB6071">
      <w:pPr>
        <w:spacing w:line="288" w:lineRule="auto"/>
        <w:ind w:left="3544"/>
        <w:rPr>
          <w:rFonts w:ascii="Arial" w:hAnsi="Arial" w:cs="Arial"/>
          <w:color w:val="000000" w:themeColor="text1"/>
          <w:sz w:val="20"/>
        </w:rPr>
      </w:pPr>
    </w:p>
    <w:p w14:paraId="13A1A76B" w14:textId="28240473" w:rsidR="00513C9B" w:rsidRPr="00AB6071" w:rsidRDefault="00424751" w:rsidP="00AB6071">
      <w:pPr>
        <w:spacing w:line="288" w:lineRule="auto"/>
        <w:ind w:left="3544"/>
        <w:rPr>
          <w:rFonts w:ascii="Arial" w:hAnsi="Arial" w:cs="Arial"/>
          <w:b/>
          <w:color w:val="000000" w:themeColor="text1"/>
          <w:sz w:val="20"/>
        </w:rPr>
      </w:pPr>
      <w:r w:rsidRPr="00AB6071">
        <w:rPr>
          <w:rFonts w:ascii="Arial" w:hAnsi="Arial" w:cs="Arial"/>
          <w:b/>
          <w:color w:val="000000" w:themeColor="text1"/>
          <w:sz w:val="20"/>
        </w:rPr>
        <w:t xml:space="preserve">Class C </w:t>
      </w:r>
    </w:p>
    <w:p w14:paraId="3BA06CBE" w14:textId="77777777" w:rsidR="00513C9B" w:rsidRPr="00AB6071" w:rsidRDefault="00513C9B" w:rsidP="00AB6071">
      <w:pPr>
        <w:spacing w:line="288" w:lineRule="auto"/>
        <w:rPr>
          <w:rFonts w:ascii="Arial" w:hAnsi="Arial" w:cs="Arial"/>
          <w:color w:val="000000" w:themeColor="text1"/>
          <w:sz w:val="20"/>
        </w:rPr>
      </w:pPr>
    </w:p>
    <w:p w14:paraId="147889B2" w14:textId="69B3C261" w:rsidR="00513C9B" w:rsidRPr="00AB6071" w:rsidRDefault="00424751"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USD </w:t>
      </w:r>
      <w:r w:rsidR="0036466B" w:rsidRPr="00AB6071">
        <w:rPr>
          <w:rFonts w:ascii="Arial" w:hAnsi="Arial" w:cs="Arial"/>
          <w:color w:val="000000" w:themeColor="text1"/>
          <w:sz w:val="20"/>
        </w:rPr>
        <w:t>1,000</w:t>
      </w:r>
      <w:r w:rsidRPr="00AB6071">
        <w:rPr>
          <w:rFonts w:ascii="Arial" w:hAnsi="Arial" w:cs="Arial"/>
          <w:color w:val="000000" w:themeColor="text1"/>
          <w:sz w:val="20"/>
        </w:rPr>
        <w:t xml:space="preserve">. The Directors </w:t>
      </w:r>
      <w:r w:rsidRPr="00AB6071">
        <w:rPr>
          <w:rFonts w:ascii="Arial" w:hAnsi="Arial" w:cs="Arial"/>
          <w:color w:val="000000" w:themeColor="text1"/>
          <w:sz w:val="20"/>
          <w:lang w:val="en-US"/>
        </w:rPr>
        <w:t xml:space="preserve">and/or the Manager </w:t>
      </w:r>
      <w:r w:rsidRPr="00AB6071">
        <w:rPr>
          <w:rFonts w:ascii="Arial" w:hAnsi="Arial" w:cs="Arial"/>
          <w:color w:val="000000" w:themeColor="text1"/>
          <w:sz w:val="20"/>
        </w:rPr>
        <w:t xml:space="preserve">have the right at their discretion to waive this restriction at any time, provided that Shareholders in the same position in the same Class shall be treated equally and fairly. </w:t>
      </w:r>
    </w:p>
    <w:p w14:paraId="6F472EE1" w14:textId="77777777" w:rsidR="00513C9B" w:rsidRPr="00AB6071" w:rsidRDefault="00513C9B" w:rsidP="00AB6071">
      <w:pPr>
        <w:spacing w:line="288" w:lineRule="auto"/>
        <w:ind w:left="3600"/>
        <w:rPr>
          <w:rFonts w:ascii="Arial" w:hAnsi="Arial" w:cs="Arial"/>
          <w:color w:val="000000" w:themeColor="text1"/>
          <w:sz w:val="20"/>
        </w:rPr>
      </w:pPr>
    </w:p>
    <w:p w14:paraId="18DE56F1" w14:textId="25707E1D" w:rsidR="00513C9B" w:rsidRPr="00AB6071" w:rsidRDefault="00424751" w:rsidP="00AB6071">
      <w:pPr>
        <w:tabs>
          <w:tab w:val="left" w:pos="3544"/>
        </w:tabs>
        <w:spacing w:line="288" w:lineRule="auto"/>
        <w:outlineLvl w:val="0"/>
        <w:rPr>
          <w:rFonts w:ascii="Arial" w:hAnsi="Arial" w:cs="Arial"/>
          <w:b/>
          <w:color w:val="000000" w:themeColor="text1"/>
          <w:sz w:val="20"/>
        </w:rPr>
      </w:pPr>
      <w:r w:rsidRPr="00AB6071">
        <w:rPr>
          <w:rFonts w:ascii="Arial" w:hAnsi="Arial" w:cs="Arial"/>
          <w:color w:val="000000" w:themeColor="text1"/>
          <w:sz w:val="20"/>
        </w:rPr>
        <w:tab/>
      </w:r>
      <w:r w:rsidRPr="00AB6071">
        <w:rPr>
          <w:rFonts w:ascii="Arial" w:hAnsi="Arial" w:cs="Arial"/>
          <w:b/>
          <w:color w:val="000000" w:themeColor="text1"/>
          <w:sz w:val="20"/>
        </w:rPr>
        <w:t>Class D</w:t>
      </w:r>
    </w:p>
    <w:p w14:paraId="24BA0FED" w14:textId="77777777" w:rsidR="00513C9B" w:rsidRPr="00AB6071" w:rsidRDefault="00513C9B" w:rsidP="00AB6071">
      <w:pPr>
        <w:spacing w:line="288" w:lineRule="auto"/>
        <w:rPr>
          <w:rFonts w:ascii="Arial" w:hAnsi="Arial" w:cs="Arial"/>
          <w:color w:val="000000" w:themeColor="text1"/>
          <w:sz w:val="20"/>
        </w:rPr>
      </w:pPr>
    </w:p>
    <w:p w14:paraId="1101CFAB" w14:textId="3034F595" w:rsidR="00513C9B" w:rsidRPr="00AB6071" w:rsidRDefault="0051217B"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ZAR </w:t>
      </w:r>
      <w:r w:rsidR="0036466B" w:rsidRPr="00AB6071">
        <w:rPr>
          <w:rFonts w:ascii="Arial" w:hAnsi="Arial" w:cs="Arial"/>
          <w:color w:val="000000" w:themeColor="text1"/>
          <w:sz w:val="20"/>
        </w:rPr>
        <w:t>20,000</w:t>
      </w:r>
      <w:r w:rsidRPr="00AB6071">
        <w:rPr>
          <w:rFonts w:ascii="Arial" w:hAnsi="Arial" w:cs="Arial"/>
          <w:color w:val="000000" w:themeColor="text1"/>
          <w:sz w:val="20"/>
        </w:rPr>
        <w:t xml:space="preserve">. </w:t>
      </w:r>
      <w:r w:rsidR="00424751" w:rsidRPr="00AB6071">
        <w:rPr>
          <w:rFonts w:ascii="Arial" w:hAnsi="Arial" w:cs="Arial"/>
          <w:color w:val="000000" w:themeColor="text1"/>
          <w:sz w:val="20"/>
        </w:rPr>
        <w:t xml:space="preserve">The Directors </w:t>
      </w:r>
      <w:r w:rsidR="00424751" w:rsidRPr="00AB6071">
        <w:rPr>
          <w:rFonts w:ascii="Arial" w:hAnsi="Arial" w:cs="Arial"/>
          <w:color w:val="000000" w:themeColor="text1"/>
          <w:sz w:val="20"/>
          <w:lang w:val="en-US" w:eastAsia="en-GB"/>
        </w:rPr>
        <w:t xml:space="preserve">and/or the Manager </w:t>
      </w:r>
      <w:r w:rsidR="00424751" w:rsidRPr="00AB6071">
        <w:rPr>
          <w:rFonts w:ascii="Arial" w:hAnsi="Arial" w:cs="Arial"/>
          <w:color w:val="000000" w:themeColor="text1"/>
          <w:sz w:val="20"/>
        </w:rPr>
        <w:t>have the right at their discretion to waive this restriction at any time</w:t>
      </w:r>
      <w:r w:rsidR="00424751" w:rsidRPr="00AB6071">
        <w:rPr>
          <w:rFonts w:ascii="Arial" w:hAnsi="Arial" w:cs="Arial"/>
          <w:sz w:val="20"/>
        </w:rPr>
        <w:t xml:space="preserve"> </w:t>
      </w:r>
      <w:r w:rsidR="00424751" w:rsidRPr="00AB6071">
        <w:rPr>
          <w:rFonts w:ascii="Arial" w:hAnsi="Arial" w:cs="Arial"/>
          <w:color w:val="000000" w:themeColor="text1"/>
          <w:sz w:val="20"/>
        </w:rPr>
        <w:t>provided that Shareholders in the same position in the same Class shall be treated equally and fairly.</w:t>
      </w:r>
    </w:p>
    <w:p w14:paraId="0D887B10" w14:textId="77777777" w:rsidR="00513C9B" w:rsidRPr="00AB6071" w:rsidRDefault="00513C9B" w:rsidP="00AB6071">
      <w:pPr>
        <w:spacing w:line="288" w:lineRule="auto"/>
        <w:ind w:left="3600"/>
        <w:rPr>
          <w:rFonts w:ascii="Arial" w:hAnsi="Arial" w:cs="Arial"/>
          <w:color w:val="000000" w:themeColor="text1"/>
          <w:sz w:val="20"/>
        </w:rPr>
      </w:pPr>
    </w:p>
    <w:p w14:paraId="47E5C12B" w14:textId="77777777" w:rsidR="00513C9B" w:rsidRPr="00AB6071" w:rsidRDefault="00424751" w:rsidP="00AB6071">
      <w:pPr>
        <w:spacing w:line="288" w:lineRule="auto"/>
        <w:ind w:left="3544"/>
        <w:outlineLvl w:val="0"/>
        <w:rPr>
          <w:rFonts w:ascii="Arial" w:hAnsi="Arial" w:cs="Arial"/>
          <w:b/>
          <w:color w:val="000000" w:themeColor="text1"/>
          <w:sz w:val="20"/>
        </w:rPr>
      </w:pPr>
      <w:r w:rsidRPr="00AB6071">
        <w:rPr>
          <w:rFonts w:ascii="Arial" w:hAnsi="Arial" w:cs="Arial"/>
          <w:b/>
          <w:color w:val="000000" w:themeColor="text1"/>
          <w:sz w:val="20"/>
        </w:rPr>
        <w:t>Class E</w:t>
      </w:r>
    </w:p>
    <w:p w14:paraId="54307CD7" w14:textId="77777777" w:rsidR="00513C9B" w:rsidRPr="00AB6071" w:rsidRDefault="00513C9B" w:rsidP="00AB6071">
      <w:pPr>
        <w:spacing w:line="288" w:lineRule="auto"/>
        <w:rPr>
          <w:rFonts w:ascii="Arial" w:hAnsi="Arial" w:cs="Arial"/>
          <w:color w:val="000000" w:themeColor="text1"/>
          <w:sz w:val="20"/>
        </w:rPr>
      </w:pPr>
    </w:p>
    <w:p w14:paraId="6332255C" w14:textId="597F7980" w:rsidR="00513C9B" w:rsidRDefault="00424751"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USD </w:t>
      </w:r>
      <w:r w:rsidR="0036466B" w:rsidRPr="00AB6071">
        <w:rPr>
          <w:rFonts w:ascii="Arial" w:hAnsi="Arial" w:cs="Arial"/>
          <w:color w:val="000000" w:themeColor="text1"/>
          <w:sz w:val="20"/>
        </w:rPr>
        <w:t>1,000</w:t>
      </w:r>
      <w:r w:rsidR="0051217B" w:rsidRPr="00AB6071">
        <w:rPr>
          <w:rFonts w:ascii="Arial" w:hAnsi="Arial" w:cs="Arial"/>
          <w:color w:val="000000" w:themeColor="text1"/>
          <w:sz w:val="20"/>
        </w:rPr>
        <w:t xml:space="preserve">. </w:t>
      </w:r>
      <w:r w:rsidRPr="00AB6071">
        <w:rPr>
          <w:rFonts w:ascii="Arial" w:hAnsi="Arial" w:cs="Arial"/>
          <w:color w:val="000000" w:themeColor="text1"/>
          <w:sz w:val="20"/>
        </w:rPr>
        <w:t xml:space="preserve">The Directors </w:t>
      </w:r>
      <w:r w:rsidRPr="00AB6071">
        <w:rPr>
          <w:rFonts w:ascii="Arial" w:hAnsi="Arial" w:cs="Arial"/>
          <w:color w:val="000000" w:themeColor="text1"/>
          <w:sz w:val="20"/>
          <w:lang w:val="en-US" w:eastAsia="en-GB"/>
        </w:rPr>
        <w:t xml:space="preserve">and/or the Manager </w:t>
      </w:r>
      <w:r w:rsidRPr="00AB6071">
        <w:rPr>
          <w:rFonts w:ascii="Arial" w:hAnsi="Arial" w:cs="Arial"/>
          <w:color w:val="000000" w:themeColor="text1"/>
          <w:sz w:val="20"/>
        </w:rPr>
        <w:t>have the right at their discretion to waive this restriction at any time</w:t>
      </w:r>
      <w:r w:rsidRPr="00AB6071">
        <w:rPr>
          <w:rFonts w:ascii="Arial" w:hAnsi="Arial" w:cs="Arial"/>
          <w:sz w:val="20"/>
        </w:rPr>
        <w:t xml:space="preserve"> </w:t>
      </w:r>
      <w:r w:rsidRPr="00AB6071">
        <w:rPr>
          <w:rFonts w:ascii="Arial" w:hAnsi="Arial" w:cs="Arial"/>
          <w:color w:val="000000" w:themeColor="text1"/>
          <w:sz w:val="20"/>
        </w:rPr>
        <w:t>provided that Shareholders in the same position in the same Class shall be treated equally and fairly.</w:t>
      </w:r>
    </w:p>
    <w:p w14:paraId="0A65123F" w14:textId="41A02AAC" w:rsidR="00B96169" w:rsidRDefault="00B96169" w:rsidP="00AB6071">
      <w:pPr>
        <w:spacing w:line="288" w:lineRule="auto"/>
        <w:ind w:left="3544"/>
        <w:rPr>
          <w:rFonts w:ascii="Arial" w:hAnsi="Arial" w:cs="Arial"/>
          <w:color w:val="000000" w:themeColor="text1"/>
          <w:sz w:val="20"/>
        </w:rPr>
      </w:pPr>
    </w:p>
    <w:p w14:paraId="3891DE0E" w14:textId="2E036D32" w:rsidR="00B96169" w:rsidRDefault="00B96169" w:rsidP="00AB6071">
      <w:pPr>
        <w:spacing w:line="288" w:lineRule="auto"/>
        <w:ind w:left="3544"/>
        <w:rPr>
          <w:rFonts w:ascii="Arial" w:hAnsi="Arial" w:cs="Arial"/>
          <w:color w:val="000000" w:themeColor="text1"/>
          <w:sz w:val="20"/>
        </w:rPr>
      </w:pPr>
      <w:r>
        <w:rPr>
          <w:rFonts w:ascii="Arial" w:hAnsi="Arial" w:cs="Arial"/>
          <w:color w:val="000000" w:themeColor="text1"/>
          <w:sz w:val="20"/>
        </w:rPr>
        <w:t xml:space="preserve">Class F </w:t>
      </w:r>
    </w:p>
    <w:p w14:paraId="6B18F547" w14:textId="05D36C66" w:rsidR="00B96169" w:rsidRDefault="00B96169" w:rsidP="00AB6071">
      <w:pPr>
        <w:spacing w:line="288" w:lineRule="auto"/>
        <w:ind w:left="3544"/>
        <w:rPr>
          <w:rFonts w:ascii="Arial" w:hAnsi="Arial" w:cs="Arial"/>
          <w:color w:val="000000" w:themeColor="text1"/>
          <w:sz w:val="20"/>
        </w:rPr>
      </w:pPr>
    </w:p>
    <w:p w14:paraId="4B3762E5" w14:textId="08A139C3" w:rsidR="00B96169" w:rsidRPr="00AB6071" w:rsidRDefault="00B96169" w:rsidP="00B96169">
      <w:pPr>
        <w:spacing w:line="288" w:lineRule="auto"/>
        <w:ind w:left="3544"/>
        <w:rPr>
          <w:rFonts w:ascii="Arial" w:hAnsi="Arial" w:cs="Arial"/>
          <w:color w:val="000000" w:themeColor="text1"/>
          <w:sz w:val="20"/>
        </w:rPr>
      </w:pPr>
      <w:r>
        <w:rPr>
          <w:rFonts w:ascii="Arial" w:hAnsi="Arial" w:cs="Arial"/>
          <w:color w:val="000000" w:themeColor="text1"/>
          <w:sz w:val="20"/>
        </w:rPr>
        <w:t>ZAR 20,000.</w:t>
      </w:r>
      <w:r w:rsidRPr="00382D43">
        <w:t xml:space="preserve"> </w:t>
      </w:r>
      <w:r w:rsidRPr="00AB6071">
        <w:rPr>
          <w:rFonts w:ascii="Arial" w:hAnsi="Arial" w:cs="Arial"/>
          <w:color w:val="000000" w:themeColor="text1"/>
          <w:sz w:val="20"/>
        </w:rPr>
        <w:t xml:space="preserve">The Directors </w:t>
      </w:r>
      <w:r w:rsidRPr="00AB6071">
        <w:rPr>
          <w:rFonts w:ascii="Arial" w:hAnsi="Arial" w:cs="Arial"/>
          <w:color w:val="000000" w:themeColor="text1"/>
          <w:sz w:val="20"/>
          <w:lang w:val="en-US" w:eastAsia="en-GB"/>
        </w:rPr>
        <w:t xml:space="preserve">and/or the Manager </w:t>
      </w:r>
      <w:r w:rsidRPr="00AB6071">
        <w:rPr>
          <w:rFonts w:ascii="Arial" w:hAnsi="Arial" w:cs="Arial"/>
          <w:color w:val="000000" w:themeColor="text1"/>
          <w:sz w:val="20"/>
        </w:rPr>
        <w:t>have the right at their discretion to waive this restriction at any time</w:t>
      </w:r>
      <w:r w:rsidRPr="00AB6071">
        <w:rPr>
          <w:rFonts w:ascii="Arial" w:hAnsi="Arial" w:cs="Arial"/>
          <w:sz w:val="20"/>
        </w:rPr>
        <w:t xml:space="preserve"> </w:t>
      </w:r>
      <w:r w:rsidRPr="00AB6071">
        <w:rPr>
          <w:rFonts w:ascii="Arial" w:hAnsi="Arial" w:cs="Arial"/>
          <w:color w:val="000000" w:themeColor="text1"/>
          <w:sz w:val="20"/>
        </w:rPr>
        <w:t>provided that Shareholders in the same position in the same Class shall be treated equally and fairly.</w:t>
      </w:r>
    </w:p>
    <w:p w14:paraId="1AF234C9" w14:textId="77777777" w:rsidR="00B96169" w:rsidRPr="00AB6071" w:rsidRDefault="00B96169" w:rsidP="00AB6071">
      <w:pPr>
        <w:spacing w:line="288" w:lineRule="auto"/>
        <w:ind w:left="3544"/>
        <w:rPr>
          <w:rFonts w:ascii="Arial" w:hAnsi="Arial" w:cs="Arial"/>
          <w:color w:val="000000" w:themeColor="text1"/>
          <w:sz w:val="20"/>
        </w:rPr>
      </w:pPr>
    </w:p>
    <w:p w14:paraId="15D031C9" w14:textId="77777777" w:rsidR="00513C9B" w:rsidRPr="00AB6071" w:rsidRDefault="00513C9B" w:rsidP="00AB6071">
      <w:pPr>
        <w:spacing w:line="288" w:lineRule="auto"/>
        <w:ind w:left="2880" w:firstLine="720"/>
        <w:rPr>
          <w:rFonts w:ascii="Arial" w:hAnsi="Arial" w:cs="Arial"/>
          <w:b/>
          <w:color w:val="000000" w:themeColor="text1"/>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612"/>
        <w:gridCol w:w="790"/>
        <w:gridCol w:w="5448"/>
      </w:tblGrid>
      <w:tr w:rsidR="00513C9B" w:rsidRPr="00AB6071" w14:paraId="39A67FD9" w14:textId="77777777">
        <w:tc>
          <w:tcPr>
            <w:tcW w:w="2612" w:type="dxa"/>
            <w:shd w:val="clear" w:color="auto" w:fill="FFFFFF" w:themeFill="background1"/>
          </w:tcPr>
          <w:p w14:paraId="6F12AD0E" w14:textId="77777777" w:rsidR="00513C9B" w:rsidRPr="00AB6071" w:rsidRDefault="00424751" w:rsidP="00AB6071">
            <w:pPr>
              <w:spacing w:line="288" w:lineRule="auto"/>
              <w:ind w:left="-108"/>
              <w:outlineLvl w:val="0"/>
              <w:rPr>
                <w:rFonts w:ascii="Arial" w:hAnsi="Arial" w:cs="Arial"/>
                <w:b/>
                <w:color w:val="000000" w:themeColor="text1"/>
                <w:sz w:val="20"/>
              </w:rPr>
            </w:pPr>
            <w:r w:rsidRPr="00AB6071">
              <w:rPr>
                <w:rFonts w:ascii="Arial" w:hAnsi="Arial" w:cs="Arial"/>
                <w:b/>
                <w:color w:val="000000" w:themeColor="text1"/>
                <w:sz w:val="20"/>
              </w:rPr>
              <w:lastRenderedPageBreak/>
              <w:t xml:space="preserve">Minimum </w:t>
            </w:r>
          </w:p>
          <w:p w14:paraId="2D03F6FF" w14:textId="77777777" w:rsidR="00513C9B" w:rsidRPr="00AB6071" w:rsidRDefault="00424751" w:rsidP="00AB6071">
            <w:pPr>
              <w:spacing w:line="288" w:lineRule="auto"/>
              <w:ind w:left="-108"/>
              <w:outlineLvl w:val="0"/>
              <w:rPr>
                <w:rFonts w:ascii="Arial" w:hAnsi="Arial" w:cs="Arial"/>
                <w:b/>
                <w:color w:val="000000" w:themeColor="text1"/>
                <w:sz w:val="20"/>
              </w:rPr>
            </w:pPr>
            <w:r w:rsidRPr="00AB6071">
              <w:rPr>
                <w:rFonts w:ascii="Arial" w:hAnsi="Arial" w:cs="Arial"/>
                <w:b/>
                <w:color w:val="000000" w:themeColor="text1"/>
                <w:sz w:val="20"/>
              </w:rPr>
              <w:t>Additional Investment:</w:t>
            </w:r>
          </w:p>
          <w:p w14:paraId="4F3A2336" w14:textId="46D10EC9" w:rsidR="0094797C" w:rsidRPr="00AB6071" w:rsidRDefault="0094797C" w:rsidP="00AB6071">
            <w:pPr>
              <w:spacing w:line="288" w:lineRule="auto"/>
              <w:ind w:left="-108"/>
              <w:outlineLvl w:val="0"/>
              <w:rPr>
                <w:rFonts w:ascii="Arial" w:hAnsi="Arial" w:cs="Arial"/>
                <w:b/>
                <w:color w:val="000000" w:themeColor="text1"/>
                <w:sz w:val="20"/>
              </w:rPr>
            </w:pPr>
            <w:r w:rsidRPr="00AB6071">
              <w:rPr>
                <w:rFonts w:ascii="Arial" w:hAnsi="Arial" w:cs="Arial"/>
                <w:b/>
                <w:color w:val="000000" w:themeColor="text1"/>
                <w:sz w:val="20"/>
              </w:rPr>
              <w:t>Class A, B, C</w:t>
            </w:r>
            <w:r w:rsidR="00B96169">
              <w:rPr>
                <w:rFonts w:ascii="Arial" w:hAnsi="Arial" w:cs="Arial"/>
                <w:b/>
                <w:color w:val="000000" w:themeColor="text1"/>
                <w:sz w:val="20"/>
              </w:rPr>
              <w:t>,</w:t>
            </w:r>
            <w:r w:rsidRPr="00AB6071">
              <w:rPr>
                <w:rFonts w:ascii="Arial" w:hAnsi="Arial" w:cs="Arial"/>
                <w:b/>
                <w:color w:val="000000" w:themeColor="text1"/>
                <w:sz w:val="20"/>
              </w:rPr>
              <w:t xml:space="preserve"> E</w:t>
            </w:r>
            <w:r w:rsidR="00B96169">
              <w:rPr>
                <w:rFonts w:ascii="Arial" w:hAnsi="Arial" w:cs="Arial"/>
                <w:b/>
                <w:color w:val="000000" w:themeColor="text1"/>
                <w:sz w:val="20"/>
              </w:rPr>
              <w:t>,</w:t>
            </w:r>
          </w:p>
          <w:p w14:paraId="3A85E567" w14:textId="5D3100FF" w:rsidR="0094797C" w:rsidRPr="00AB6071" w:rsidRDefault="0094797C" w:rsidP="00AB6071">
            <w:pPr>
              <w:spacing w:line="288" w:lineRule="auto"/>
              <w:ind w:left="-108"/>
              <w:outlineLvl w:val="0"/>
              <w:rPr>
                <w:rFonts w:ascii="Arial" w:hAnsi="Arial" w:cs="Arial"/>
                <w:color w:val="000000" w:themeColor="text1"/>
                <w:sz w:val="20"/>
              </w:rPr>
            </w:pPr>
            <w:r w:rsidRPr="00AB6071">
              <w:rPr>
                <w:rFonts w:ascii="Arial" w:hAnsi="Arial" w:cs="Arial"/>
                <w:b/>
                <w:color w:val="000000" w:themeColor="text1"/>
                <w:sz w:val="20"/>
              </w:rPr>
              <w:t>D</w:t>
            </w:r>
            <w:r w:rsidR="00B96169">
              <w:rPr>
                <w:rFonts w:ascii="Arial" w:hAnsi="Arial" w:cs="Arial"/>
                <w:b/>
                <w:color w:val="000000" w:themeColor="text1"/>
                <w:sz w:val="20"/>
              </w:rPr>
              <w:t xml:space="preserve"> and Class F</w:t>
            </w:r>
          </w:p>
        </w:tc>
        <w:tc>
          <w:tcPr>
            <w:tcW w:w="790" w:type="dxa"/>
            <w:shd w:val="clear" w:color="auto" w:fill="FFFFFF" w:themeFill="background1"/>
          </w:tcPr>
          <w:p w14:paraId="3DBE68E0" w14:textId="77777777" w:rsidR="00513C9B" w:rsidRPr="00AB6071" w:rsidRDefault="00513C9B" w:rsidP="00AB6071">
            <w:pPr>
              <w:spacing w:line="288" w:lineRule="auto"/>
              <w:ind w:left="-108"/>
              <w:outlineLvl w:val="0"/>
              <w:rPr>
                <w:rFonts w:ascii="Arial" w:hAnsi="Arial" w:cs="Arial"/>
                <w:color w:val="000000" w:themeColor="text1"/>
                <w:sz w:val="20"/>
              </w:rPr>
            </w:pPr>
          </w:p>
        </w:tc>
        <w:tc>
          <w:tcPr>
            <w:tcW w:w="5448" w:type="dxa"/>
            <w:shd w:val="clear" w:color="auto" w:fill="FFFFFF" w:themeFill="background1"/>
          </w:tcPr>
          <w:p w14:paraId="2303B1B3" w14:textId="686B27D2" w:rsidR="00513C9B" w:rsidRPr="00AB6071" w:rsidRDefault="00513C9B" w:rsidP="00AB6071">
            <w:pPr>
              <w:spacing w:line="288" w:lineRule="auto"/>
              <w:ind w:left="-108"/>
              <w:outlineLvl w:val="0"/>
              <w:rPr>
                <w:rFonts w:ascii="Arial" w:hAnsi="Arial" w:cs="Arial"/>
                <w:color w:val="000000" w:themeColor="text1"/>
                <w:sz w:val="20"/>
              </w:rPr>
            </w:pPr>
          </w:p>
          <w:p w14:paraId="69D24E29" w14:textId="77777777" w:rsidR="00B24FCE" w:rsidRDefault="00B24FCE" w:rsidP="004553FA">
            <w:pPr>
              <w:spacing w:line="288" w:lineRule="auto"/>
              <w:outlineLvl w:val="0"/>
              <w:rPr>
                <w:rFonts w:ascii="Arial" w:hAnsi="Arial" w:cs="Arial"/>
                <w:color w:val="000000" w:themeColor="text1"/>
                <w:sz w:val="20"/>
              </w:rPr>
            </w:pPr>
          </w:p>
          <w:p w14:paraId="7B941723" w14:textId="288DFA91" w:rsidR="00A12820" w:rsidRPr="00AB6071" w:rsidRDefault="004553FA" w:rsidP="004553FA">
            <w:pPr>
              <w:spacing w:line="288" w:lineRule="auto"/>
              <w:outlineLvl w:val="0"/>
              <w:rPr>
                <w:rFonts w:ascii="Arial" w:hAnsi="Arial" w:cs="Arial"/>
                <w:color w:val="000000" w:themeColor="text1"/>
                <w:sz w:val="20"/>
              </w:rPr>
            </w:pPr>
            <w:r>
              <w:rPr>
                <w:rFonts w:ascii="Arial" w:hAnsi="Arial" w:cs="Arial"/>
                <w:color w:val="000000" w:themeColor="text1"/>
                <w:sz w:val="20"/>
              </w:rPr>
              <w:t xml:space="preserve"> </w:t>
            </w:r>
            <w:r w:rsidR="00871940" w:rsidRPr="00AB6071">
              <w:rPr>
                <w:rFonts w:ascii="Arial" w:hAnsi="Arial" w:cs="Arial"/>
                <w:color w:val="000000" w:themeColor="text1"/>
                <w:sz w:val="20"/>
              </w:rPr>
              <w:t>USD 1,000</w:t>
            </w:r>
            <w:r>
              <w:rPr>
                <w:rFonts w:ascii="Arial" w:hAnsi="Arial" w:cs="Arial"/>
                <w:color w:val="000000" w:themeColor="text1"/>
                <w:sz w:val="20"/>
              </w:rPr>
              <w:t>.</w:t>
            </w:r>
          </w:p>
          <w:p w14:paraId="5D1B61E8" w14:textId="77777777" w:rsidR="00B96169" w:rsidRDefault="00871940" w:rsidP="004553FA">
            <w:pPr>
              <w:spacing w:line="288" w:lineRule="auto"/>
              <w:ind w:left="-114" w:firstLine="114"/>
              <w:outlineLvl w:val="0"/>
              <w:rPr>
                <w:rFonts w:ascii="Arial" w:hAnsi="Arial" w:cs="Arial"/>
                <w:color w:val="000000" w:themeColor="text1"/>
                <w:sz w:val="20"/>
              </w:rPr>
            </w:pPr>
            <w:r w:rsidRPr="00AB6071">
              <w:rPr>
                <w:rFonts w:ascii="Arial" w:hAnsi="Arial" w:cs="Arial"/>
                <w:color w:val="000000" w:themeColor="text1"/>
                <w:sz w:val="20"/>
              </w:rPr>
              <w:t xml:space="preserve"> ZAR 20,000</w:t>
            </w:r>
          </w:p>
          <w:p w14:paraId="68E921E6" w14:textId="363B67EC" w:rsidR="00A12820" w:rsidRPr="00AB6071" w:rsidRDefault="00A12820" w:rsidP="004553FA">
            <w:pPr>
              <w:spacing w:line="288" w:lineRule="auto"/>
              <w:ind w:left="-114" w:firstLine="114"/>
              <w:outlineLvl w:val="0"/>
              <w:rPr>
                <w:rFonts w:ascii="Arial" w:hAnsi="Arial" w:cs="Arial"/>
                <w:color w:val="000000" w:themeColor="text1"/>
                <w:sz w:val="20"/>
              </w:rPr>
            </w:pPr>
          </w:p>
          <w:p w14:paraId="02134E10" w14:textId="65B1B4DD" w:rsidR="00871940" w:rsidRPr="00AB6071" w:rsidRDefault="00871940" w:rsidP="00E528FD">
            <w:pPr>
              <w:tabs>
                <w:tab w:val="left" w:pos="156"/>
              </w:tabs>
              <w:spacing w:line="288" w:lineRule="auto"/>
              <w:ind w:left="-108"/>
              <w:outlineLvl w:val="0"/>
              <w:rPr>
                <w:rFonts w:ascii="Arial" w:hAnsi="Arial" w:cs="Arial"/>
                <w:color w:val="000000" w:themeColor="text1"/>
                <w:sz w:val="20"/>
              </w:rPr>
            </w:pPr>
            <w:r w:rsidRPr="00AB6071">
              <w:rPr>
                <w:rFonts w:ascii="Arial" w:hAnsi="Arial" w:cs="Arial"/>
                <w:color w:val="000000" w:themeColor="text1"/>
                <w:sz w:val="20"/>
              </w:rPr>
              <w:tab/>
            </w:r>
          </w:p>
        </w:tc>
      </w:tr>
    </w:tbl>
    <w:p w14:paraId="2732CBA4" w14:textId="5CD48630" w:rsidR="00A12820" w:rsidRPr="00AB6071" w:rsidRDefault="00A12820" w:rsidP="00AB6071">
      <w:pPr>
        <w:tabs>
          <w:tab w:val="left" w:pos="3544"/>
          <w:tab w:val="left" w:pos="3686"/>
        </w:tabs>
        <w:spacing w:line="288" w:lineRule="auto"/>
        <w:outlineLvl w:val="0"/>
        <w:rPr>
          <w:rFonts w:ascii="Arial" w:hAnsi="Arial" w:cs="Arial"/>
          <w:b/>
          <w:color w:val="000000" w:themeColor="text1"/>
          <w:sz w:val="20"/>
        </w:rPr>
      </w:pPr>
      <w:r w:rsidRPr="00AB6071">
        <w:rPr>
          <w:rFonts w:ascii="Arial" w:hAnsi="Arial" w:cs="Arial"/>
          <w:b/>
          <w:color w:val="000000" w:themeColor="text1"/>
          <w:sz w:val="20"/>
        </w:rPr>
        <w:t>Investment Manager</w:t>
      </w:r>
      <w:r w:rsidR="00422F2E">
        <w:rPr>
          <w:rFonts w:ascii="Arial" w:hAnsi="Arial" w:cs="Arial"/>
          <w:b/>
          <w:color w:val="000000" w:themeColor="text1"/>
          <w:sz w:val="20"/>
        </w:rPr>
        <w:t xml:space="preserve"> and </w:t>
      </w:r>
      <w:r w:rsidRPr="00AB6071">
        <w:rPr>
          <w:rFonts w:ascii="Arial" w:hAnsi="Arial" w:cs="Arial"/>
          <w:color w:val="000000" w:themeColor="text1"/>
          <w:sz w:val="20"/>
        </w:rPr>
        <w:tab/>
        <w:t>Prescient Investment Management (Pty) Limited.</w:t>
      </w:r>
    </w:p>
    <w:p w14:paraId="3E5F5C2D" w14:textId="73056544" w:rsidR="00A12820" w:rsidRPr="00AB6071" w:rsidRDefault="00422F2E" w:rsidP="00AB6071">
      <w:pPr>
        <w:spacing w:line="288" w:lineRule="auto"/>
        <w:rPr>
          <w:rFonts w:ascii="Arial" w:hAnsi="Arial" w:cs="Arial"/>
          <w:b/>
          <w:color w:val="000000" w:themeColor="text1"/>
          <w:sz w:val="20"/>
        </w:rPr>
      </w:pPr>
      <w:r>
        <w:rPr>
          <w:rFonts w:ascii="Arial" w:hAnsi="Arial" w:cs="Arial"/>
          <w:b/>
          <w:color w:val="000000" w:themeColor="text1"/>
          <w:sz w:val="20"/>
        </w:rPr>
        <w:t>Distributor:</w:t>
      </w:r>
      <w:r w:rsidR="00A12820" w:rsidRPr="00AB6071">
        <w:rPr>
          <w:rFonts w:ascii="Arial" w:hAnsi="Arial" w:cs="Arial"/>
          <w:b/>
          <w:color w:val="000000" w:themeColor="text1"/>
          <w:sz w:val="20"/>
        </w:rPr>
        <w:tab/>
      </w:r>
      <w:r w:rsidR="00A12820" w:rsidRPr="00AB6071">
        <w:rPr>
          <w:rFonts w:ascii="Arial" w:hAnsi="Arial" w:cs="Arial"/>
          <w:b/>
          <w:color w:val="000000" w:themeColor="text1"/>
          <w:sz w:val="20"/>
        </w:rPr>
        <w:tab/>
      </w:r>
    </w:p>
    <w:p w14:paraId="6B600DB3" w14:textId="5512284F" w:rsidR="00A12820" w:rsidRPr="00AB6071" w:rsidRDefault="00A12820"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The Investment Manager and Distributor of the Fund is </w:t>
      </w:r>
      <w:r w:rsidRPr="00AB6071">
        <w:rPr>
          <w:rFonts w:ascii="Arial" w:hAnsi="Arial" w:cs="Arial"/>
          <w:sz w:val="20"/>
        </w:rPr>
        <w:t>Prescient Investment Management (Pty) Limited</w:t>
      </w:r>
      <w:r w:rsidRPr="00AB6071">
        <w:rPr>
          <w:rFonts w:ascii="Arial" w:hAnsi="Arial" w:cs="Arial"/>
          <w:color w:val="000000" w:themeColor="text1"/>
          <w:sz w:val="20"/>
        </w:rPr>
        <w:t xml:space="preserve">. The address of the Investment Manager is </w:t>
      </w:r>
      <w:r w:rsidR="00740554" w:rsidRPr="00AB6071">
        <w:rPr>
          <w:rFonts w:ascii="Arial" w:hAnsi="Arial" w:cs="Arial"/>
          <w:color w:val="000000" w:themeColor="text1"/>
          <w:sz w:val="20"/>
        </w:rPr>
        <w:t xml:space="preserve">Prescient House, Westlake Business Park, Otto Close, Westlake 7945, </w:t>
      </w:r>
      <w:r w:rsidRPr="00AB6071">
        <w:rPr>
          <w:rFonts w:ascii="Arial" w:hAnsi="Arial" w:cs="Arial"/>
          <w:sz w:val="20"/>
        </w:rPr>
        <w:t xml:space="preserve"> South Africa. The Manager has appointed Prescient Investment Management (Pty) Limited </w:t>
      </w:r>
      <w:r w:rsidRPr="00AB6071">
        <w:rPr>
          <w:rFonts w:ascii="Arial" w:hAnsi="Arial" w:cs="Arial"/>
          <w:color w:val="000000" w:themeColor="text1"/>
          <w:sz w:val="20"/>
        </w:rPr>
        <w:t>as Investment Manager to the Fund with discretionary powers pursuant to the Investment Management Agreement.  Under the terms of the Investment Management Agreement, the Investment Manager is responsible for managing the assets and investments of the Fund in accordance with the investment objectives, policies and strategies described in this Prospectus, subject always to the supervision and direction of the Manager.</w:t>
      </w:r>
    </w:p>
    <w:p w14:paraId="5EFA86AF" w14:textId="77777777" w:rsidR="00A12820" w:rsidRPr="00AB6071" w:rsidRDefault="00A12820" w:rsidP="00AB6071">
      <w:pPr>
        <w:spacing w:line="288" w:lineRule="auto"/>
        <w:rPr>
          <w:rFonts w:ascii="Arial" w:hAnsi="Arial" w:cs="Arial"/>
          <w:color w:val="000000" w:themeColor="text1"/>
          <w:sz w:val="20"/>
          <w:highlight w:val="yellow"/>
        </w:rPr>
      </w:pPr>
    </w:p>
    <w:p w14:paraId="4C0DCEC0" w14:textId="25F7F5D0" w:rsidR="00A12820" w:rsidRPr="00AB6071" w:rsidRDefault="00A12820" w:rsidP="00AB6071">
      <w:pPr>
        <w:spacing w:line="288" w:lineRule="auto"/>
        <w:ind w:left="3544"/>
        <w:rPr>
          <w:rFonts w:ascii="Arial" w:hAnsi="Arial" w:cs="Arial"/>
          <w:sz w:val="20"/>
        </w:rPr>
      </w:pPr>
      <w:r w:rsidRPr="00AB6071">
        <w:rPr>
          <w:rFonts w:ascii="Arial" w:hAnsi="Arial" w:cs="Arial"/>
          <w:sz w:val="20"/>
        </w:rPr>
        <w:t>The Investment Manager was incorporated in South Africa on 26 November 1998 under the Companies Act, 1973 and is regulated by the Financial Sector Conduct Authority of South Africa as a licensed Financial Service Provider No.612 in the conduct of financial services and Investment Management activities.</w:t>
      </w:r>
      <w:r w:rsidR="00183ADD" w:rsidRPr="00AB6071">
        <w:rPr>
          <w:rFonts w:ascii="Arial" w:hAnsi="Arial" w:cs="Arial"/>
          <w:sz w:val="20"/>
        </w:rPr>
        <w:t xml:space="preserve"> The Investment Manager manages money on behalf of retirement funds and vehicles, medical aid schemes, corporate entities, trusts, and individuals. </w:t>
      </w:r>
    </w:p>
    <w:p w14:paraId="48C17A29" w14:textId="77777777" w:rsidR="00A12820" w:rsidRPr="00AB6071" w:rsidRDefault="00A12820" w:rsidP="00AB6071">
      <w:pPr>
        <w:spacing w:line="288" w:lineRule="auto"/>
        <w:rPr>
          <w:rFonts w:ascii="Arial" w:hAnsi="Arial" w:cs="Arial"/>
          <w:sz w:val="20"/>
        </w:rPr>
      </w:pPr>
    </w:p>
    <w:p w14:paraId="41784BA3" w14:textId="5E9CF2BA" w:rsidR="00A12820" w:rsidRPr="00AB6071" w:rsidRDefault="00A12820" w:rsidP="00AB6071">
      <w:pPr>
        <w:tabs>
          <w:tab w:val="left" w:pos="720"/>
          <w:tab w:val="left" w:pos="1440"/>
          <w:tab w:val="left" w:pos="2160"/>
          <w:tab w:val="left" w:pos="2880"/>
          <w:tab w:val="left" w:pos="3600"/>
        </w:tabs>
        <w:spacing w:line="288" w:lineRule="auto"/>
        <w:ind w:left="3544"/>
        <w:rPr>
          <w:rFonts w:ascii="Arial" w:hAnsi="Arial" w:cs="Arial"/>
          <w:color w:val="000000" w:themeColor="text1"/>
          <w:sz w:val="20"/>
        </w:rPr>
      </w:pPr>
      <w:r w:rsidRPr="00AB6071">
        <w:rPr>
          <w:rFonts w:ascii="Arial" w:hAnsi="Arial" w:cs="Arial"/>
          <w:color w:val="000000" w:themeColor="text1"/>
          <w:sz w:val="20"/>
        </w:rPr>
        <w:t>The Investment Manager may delegate the discretionary investment management of the Fund to sub-investment managers</w:t>
      </w:r>
      <w:r w:rsidR="00A41C20" w:rsidRPr="00AB6071">
        <w:rPr>
          <w:rFonts w:ascii="Arial" w:hAnsi="Arial" w:cs="Arial"/>
          <w:color w:val="000000" w:themeColor="text1"/>
          <w:sz w:val="20"/>
        </w:rPr>
        <w:t xml:space="preserve"> </w:t>
      </w:r>
      <w:r w:rsidRPr="00AB6071">
        <w:rPr>
          <w:rFonts w:ascii="Arial" w:hAnsi="Arial" w:cs="Arial"/>
          <w:color w:val="000000" w:themeColor="text1"/>
          <w:sz w:val="20"/>
        </w:rPr>
        <w:t xml:space="preserve">and/or </w:t>
      </w:r>
      <w:r w:rsidR="000D7C4F" w:rsidRPr="00AB6071">
        <w:rPr>
          <w:rFonts w:ascii="Arial" w:hAnsi="Arial" w:cs="Arial"/>
          <w:color w:val="000000" w:themeColor="text1"/>
          <w:sz w:val="20"/>
        </w:rPr>
        <w:t xml:space="preserve">may appoint an </w:t>
      </w:r>
      <w:r w:rsidRPr="00AB6071">
        <w:rPr>
          <w:rFonts w:ascii="Arial" w:hAnsi="Arial" w:cs="Arial"/>
          <w:color w:val="000000" w:themeColor="text1"/>
          <w:sz w:val="20"/>
        </w:rPr>
        <w:t>investment advisor</w:t>
      </w:r>
      <w:r w:rsidR="000D7C4F" w:rsidRPr="00AB6071">
        <w:rPr>
          <w:rFonts w:ascii="Arial" w:hAnsi="Arial" w:cs="Arial"/>
          <w:color w:val="000000" w:themeColor="text1"/>
          <w:sz w:val="20"/>
        </w:rPr>
        <w:t xml:space="preserve"> to provide investment </w:t>
      </w:r>
      <w:r w:rsidR="005865EE" w:rsidRPr="00AB6071">
        <w:rPr>
          <w:rFonts w:ascii="Arial" w:hAnsi="Arial" w:cs="Arial"/>
          <w:color w:val="000000" w:themeColor="text1"/>
          <w:sz w:val="20"/>
        </w:rPr>
        <w:t xml:space="preserve">advice, </w:t>
      </w:r>
      <w:r w:rsidR="004553FA">
        <w:rPr>
          <w:rFonts w:ascii="Arial" w:hAnsi="Arial" w:cs="Arial"/>
          <w:color w:val="000000" w:themeColor="text1"/>
          <w:sz w:val="20"/>
        </w:rPr>
        <w:t>s</w:t>
      </w:r>
      <w:r w:rsidR="000D7C4F" w:rsidRPr="00AB6071">
        <w:rPr>
          <w:rFonts w:ascii="Arial" w:hAnsi="Arial" w:cs="Arial"/>
          <w:color w:val="000000" w:themeColor="text1"/>
          <w:sz w:val="20"/>
        </w:rPr>
        <w:t xml:space="preserve">ubject to and </w:t>
      </w:r>
      <w:r w:rsidRPr="00AB6071">
        <w:rPr>
          <w:rFonts w:ascii="Arial" w:hAnsi="Arial" w:cs="Arial"/>
          <w:color w:val="000000" w:themeColor="text1"/>
          <w:sz w:val="20"/>
        </w:rPr>
        <w:t>in accordance with the requirements of the Central Bank</w:t>
      </w:r>
      <w:r w:rsidR="00186391" w:rsidRPr="00AB6071">
        <w:rPr>
          <w:rFonts w:ascii="Arial" w:hAnsi="Arial" w:cs="Arial"/>
          <w:color w:val="000000" w:themeColor="text1"/>
          <w:sz w:val="20"/>
        </w:rPr>
        <w:t xml:space="preserve"> (including the update of this Supplement, where necessary) </w:t>
      </w:r>
      <w:r w:rsidRPr="00AB6071">
        <w:rPr>
          <w:rFonts w:ascii="Arial" w:hAnsi="Arial" w:cs="Arial"/>
          <w:color w:val="000000" w:themeColor="text1"/>
          <w:sz w:val="20"/>
        </w:rPr>
        <w:t xml:space="preserve"> and with the consent of the Manager.  Details of such appointment will be provided to Shareholders on request and shall be further disclosed in each annual and semi-annual report of the Fund.  </w:t>
      </w:r>
    </w:p>
    <w:p w14:paraId="3EFA96C3" w14:textId="77777777" w:rsidR="00A12820" w:rsidRPr="00AB6071" w:rsidRDefault="00A12820" w:rsidP="00AB6071">
      <w:pPr>
        <w:spacing w:line="288" w:lineRule="auto"/>
        <w:rPr>
          <w:rFonts w:ascii="Arial" w:hAnsi="Arial" w:cs="Arial"/>
          <w:color w:val="000000" w:themeColor="text1"/>
          <w:sz w:val="20"/>
          <w:highlight w:val="yellow"/>
        </w:rPr>
      </w:pPr>
    </w:p>
    <w:p w14:paraId="2E769BEB" w14:textId="77777777" w:rsidR="00A12820" w:rsidRPr="00AB6071" w:rsidRDefault="00A12820"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The Investment Manager has also been appointed as Distributor of the Shares of the Fund and is in relation thereto entitled to any initial charge payable on subscriptions or redemption fee on redemptions.  The Investment Manager may appoint sub-distributors in accordance with the requirements of the Central Bank and with the consent of the Manager. </w:t>
      </w:r>
    </w:p>
    <w:p w14:paraId="1748617D" w14:textId="77777777" w:rsidR="00A12820" w:rsidRPr="00AB6071" w:rsidRDefault="00A12820" w:rsidP="00AB6071">
      <w:pPr>
        <w:spacing w:line="288" w:lineRule="auto"/>
        <w:ind w:left="3600"/>
        <w:rPr>
          <w:rFonts w:ascii="Arial" w:hAnsi="Arial" w:cs="Arial"/>
          <w:color w:val="000000" w:themeColor="text1"/>
          <w:sz w:val="20"/>
        </w:rPr>
      </w:pPr>
    </w:p>
    <w:p w14:paraId="4ED0A717" w14:textId="77777777" w:rsidR="00A12820" w:rsidRPr="00AB6071" w:rsidRDefault="00A12820"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lastRenderedPageBreak/>
        <w:t>The Investment Manager shall pay the fees and expenses of any sub-investment manager or any sub-distributor or investment advisor appointed by it out of its own fee.</w:t>
      </w:r>
    </w:p>
    <w:p w14:paraId="35A6FD6A" w14:textId="77777777" w:rsidR="00A12820" w:rsidRPr="00AB6071" w:rsidRDefault="00A12820" w:rsidP="00AB6071">
      <w:pPr>
        <w:spacing w:line="288" w:lineRule="auto"/>
        <w:rPr>
          <w:rFonts w:ascii="Arial" w:hAnsi="Arial" w:cs="Arial"/>
          <w:color w:val="000000" w:themeColor="text1"/>
          <w:sz w:val="20"/>
        </w:rPr>
      </w:pPr>
      <w:r w:rsidRPr="00AB6071">
        <w:rPr>
          <w:rFonts w:ascii="Arial" w:hAnsi="Arial" w:cs="Arial"/>
          <w:color w:val="000000" w:themeColor="text1"/>
          <w:sz w:val="20"/>
        </w:rPr>
        <w:tab/>
      </w:r>
      <w:r w:rsidRPr="00AB6071">
        <w:rPr>
          <w:rFonts w:ascii="Arial" w:hAnsi="Arial" w:cs="Arial"/>
          <w:color w:val="000000" w:themeColor="text1"/>
          <w:sz w:val="20"/>
        </w:rPr>
        <w:tab/>
      </w:r>
    </w:p>
    <w:p w14:paraId="6254A01A" w14:textId="204D027E" w:rsidR="00A12820" w:rsidRPr="00AB6071" w:rsidRDefault="00A12820" w:rsidP="00B00400">
      <w:pPr>
        <w:spacing w:after="160" w:line="259" w:lineRule="auto"/>
        <w:jc w:val="left"/>
        <w:rPr>
          <w:rFonts w:ascii="Arial" w:hAnsi="Arial" w:cs="Arial"/>
          <w:b/>
          <w:color w:val="000000" w:themeColor="text1"/>
          <w:sz w:val="20"/>
        </w:rPr>
      </w:pPr>
      <w:r w:rsidRPr="00AB6071">
        <w:rPr>
          <w:rFonts w:ascii="Arial" w:hAnsi="Arial" w:cs="Arial"/>
          <w:b/>
          <w:color w:val="000000" w:themeColor="text1"/>
          <w:sz w:val="20"/>
        </w:rPr>
        <w:t>Investment Management and</w:t>
      </w:r>
      <w:r w:rsidRPr="00AB6071">
        <w:rPr>
          <w:rFonts w:ascii="Arial" w:hAnsi="Arial" w:cs="Arial"/>
          <w:b/>
          <w:color w:val="000000" w:themeColor="text1"/>
          <w:sz w:val="20"/>
        </w:rPr>
        <w:tab/>
      </w:r>
      <w:r w:rsidR="00EA3320">
        <w:rPr>
          <w:rFonts w:ascii="Arial" w:hAnsi="Arial" w:cs="Arial"/>
          <w:b/>
          <w:color w:val="000000" w:themeColor="text1"/>
          <w:sz w:val="20"/>
        </w:rPr>
        <w:tab/>
      </w:r>
      <w:r w:rsidRPr="00AB6071">
        <w:rPr>
          <w:rFonts w:ascii="Arial" w:hAnsi="Arial" w:cs="Arial"/>
          <w:sz w:val="20"/>
        </w:rPr>
        <w:t>The amended and restated Investment Management and</w:t>
      </w:r>
    </w:p>
    <w:p w14:paraId="638EE20E" w14:textId="464A04B1" w:rsidR="00A12820" w:rsidRPr="00AB6071" w:rsidRDefault="00A12820" w:rsidP="00AB6071">
      <w:pPr>
        <w:spacing w:line="288" w:lineRule="auto"/>
        <w:ind w:left="3544" w:hanging="3544"/>
        <w:rPr>
          <w:rFonts w:ascii="Arial" w:hAnsi="Arial" w:cs="Arial"/>
          <w:color w:val="000000" w:themeColor="text1"/>
          <w:sz w:val="20"/>
        </w:rPr>
      </w:pPr>
      <w:r w:rsidRPr="00AB6071">
        <w:rPr>
          <w:rFonts w:ascii="Arial" w:hAnsi="Arial" w:cs="Arial"/>
          <w:b/>
          <w:color w:val="000000" w:themeColor="text1"/>
          <w:sz w:val="20"/>
        </w:rPr>
        <w:t>Distribution Agreement:</w:t>
      </w:r>
      <w:r w:rsidRPr="00AB6071">
        <w:rPr>
          <w:rFonts w:ascii="Arial" w:hAnsi="Arial" w:cs="Arial"/>
          <w:color w:val="000000" w:themeColor="text1"/>
          <w:sz w:val="20"/>
        </w:rPr>
        <w:tab/>
      </w:r>
      <w:r w:rsidRPr="00AB6071">
        <w:rPr>
          <w:rFonts w:ascii="Arial" w:hAnsi="Arial" w:cs="Arial"/>
          <w:sz w:val="20"/>
        </w:rPr>
        <w:t>Distribution Agreement dated 11 October 2018 b</w:t>
      </w:r>
      <w:r w:rsidRPr="00AB6071">
        <w:rPr>
          <w:rFonts w:ascii="Arial" w:hAnsi="Arial" w:cs="Arial"/>
          <w:color w:val="000000" w:themeColor="text1"/>
          <w:sz w:val="20"/>
        </w:rPr>
        <w:t xml:space="preserve">etween the </w:t>
      </w:r>
      <w:r w:rsidR="00311F8E" w:rsidRPr="00AB6071">
        <w:rPr>
          <w:rFonts w:ascii="Arial" w:hAnsi="Arial" w:cs="Arial"/>
          <w:color w:val="000000" w:themeColor="text1"/>
          <w:sz w:val="20"/>
        </w:rPr>
        <w:t xml:space="preserve">ICAV, the </w:t>
      </w:r>
      <w:r w:rsidRPr="00AB6071">
        <w:rPr>
          <w:rFonts w:ascii="Arial" w:hAnsi="Arial" w:cs="Arial"/>
          <w:color w:val="000000" w:themeColor="text1"/>
          <w:sz w:val="20"/>
        </w:rPr>
        <w:t>Manager and the Investment Manager</w:t>
      </w:r>
      <w:r w:rsidR="004E1B37">
        <w:rPr>
          <w:rFonts w:ascii="Arial" w:hAnsi="Arial" w:cs="Arial"/>
          <w:color w:val="000000" w:themeColor="text1"/>
          <w:sz w:val="20"/>
        </w:rPr>
        <w:t>, as amended by Side Letter dated 17</w:t>
      </w:r>
      <w:r w:rsidR="004E1B37" w:rsidRPr="004E1B37">
        <w:rPr>
          <w:rFonts w:ascii="Arial" w:hAnsi="Arial" w:cs="Arial"/>
          <w:color w:val="000000" w:themeColor="text1"/>
          <w:sz w:val="20"/>
          <w:vertAlign w:val="superscript"/>
        </w:rPr>
        <w:t>th</w:t>
      </w:r>
      <w:r w:rsidR="000F07A7">
        <w:rPr>
          <w:rFonts w:ascii="Arial" w:hAnsi="Arial" w:cs="Arial"/>
          <w:color w:val="000000" w:themeColor="text1"/>
          <w:sz w:val="20"/>
        </w:rPr>
        <w:t xml:space="preserve"> July, </w:t>
      </w:r>
      <w:r w:rsidR="004E1B37">
        <w:rPr>
          <w:rFonts w:ascii="Arial" w:hAnsi="Arial" w:cs="Arial"/>
          <w:color w:val="000000" w:themeColor="text1"/>
          <w:sz w:val="20"/>
        </w:rPr>
        <w:t>2020</w:t>
      </w:r>
      <w:r w:rsidRPr="00AB6071">
        <w:rPr>
          <w:rFonts w:ascii="Arial" w:hAnsi="Arial" w:cs="Arial"/>
          <w:color w:val="000000" w:themeColor="text1"/>
          <w:sz w:val="20"/>
        </w:rPr>
        <w:t>. The Investment Management and Distribution Agreement provides that the appointment of the Investment Manager will continue in force unless and until terminated by any party giving to the others not less than 90 days written notice although in certain circumstances the Investment Management and Distribution Agreement may be terminated forthwith by notice in writing by either party to the other</w:t>
      </w:r>
      <w:r w:rsidRPr="00AB6071">
        <w:rPr>
          <w:rFonts w:ascii="Arial" w:eastAsia="MS Mincho" w:hAnsi="Arial" w:cs="Arial"/>
          <w:color w:val="000000" w:themeColor="text1"/>
          <w:sz w:val="20"/>
        </w:rPr>
        <w:t xml:space="preserve"> such as the insolvency of either party or unremedied breach after notice</w:t>
      </w:r>
      <w:r w:rsidRPr="00AB6071">
        <w:rPr>
          <w:rFonts w:ascii="Arial" w:hAnsi="Arial" w:cs="Arial"/>
          <w:color w:val="000000" w:themeColor="text1"/>
          <w:sz w:val="20"/>
        </w:rPr>
        <w:t>.</w:t>
      </w:r>
    </w:p>
    <w:p w14:paraId="7B832067" w14:textId="77777777" w:rsidR="00A12820" w:rsidRPr="00AB6071" w:rsidRDefault="00A12820" w:rsidP="00AB6071">
      <w:pPr>
        <w:spacing w:line="288" w:lineRule="auto"/>
        <w:rPr>
          <w:rFonts w:ascii="Arial" w:hAnsi="Arial" w:cs="Arial"/>
          <w:color w:val="000000" w:themeColor="text1"/>
          <w:sz w:val="20"/>
        </w:rPr>
      </w:pPr>
    </w:p>
    <w:p w14:paraId="707F1024" w14:textId="468DC1FB" w:rsidR="00A12820" w:rsidRPr="00AB6071" w:rsidRDefault="00A12820"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The Investment Management and Distribution Agreement provides that the Manager as agent of the </w:t>
      </w:r>
      <w:r w:rsidR="00311F8E" w:rsidRPr="00AB6071">
        <w:rPr>
          <w:rFonts w:ascii="Arial" w:hAnsi="Arial" w:cs="Arial"/>
          <w:color w:val="000000" w:themeColor="text1"/>
          <w:sz w:val="20"/>
        </w:rPr>
        <w:t>ICAV</w:t>
      </w:r>
      <w:r w:rsidRPr="00AB6071">
        <w:rPr>
          <w:rFonts w:ascii="Arial" w:hAnsi="Arial" w:cs="Arial"/>
          <w:color w:val="000000" w:themeColor="text1"/>
          <w:sz w:val="20"/>
        </w:rPr>
        <w:t xml:space="preserve"> shall indemnify and hold harmless, out of the assets of the Fund, the Investment Manager, its employees, servants and agents against all or any losses, liabilities, actions, proceedings, claims, costs and expenses (including without limitation reasonable legal fees and expenses) which may be asserted against it as the Investment Manager of the Fund or by reason of its relationship with the Fund and arising from breach of the Investment Management and Distribution Agreement by the Manager or arising from the breach by its employees, servants and agents in the performance of their duties or any other cause save where such losses, liabilities, actions, proceedings, claims, costs and expenses arise due to the negligence, fraud, bad faith, wilful default or recklessness of the Investment Manager</w:t>
      </w:r>
      <w:r w:rsidR="00311F8E" w:rsidRPr="00AB6071">
        <w:rPr>
          <w:rFonts w:ascii="Arial" w:hAnsi="Arial" w:cs="Arial"/>
          <w:color w:val="000000" w:themeColor="text1"/>
          <w:sz w:val="20"/>
        </w:rPr>
        <w:t xml:space="preserve"> or breach of the Investment Management and Distribution Agreement by the Investment Manager, </w:t>
      </w:r>
      <w:r w:rsidRPr="00AB6071">
        <w:rPr>
          <w:rFonts w:ascii="Arial" w:hAnsi="Arial" w:cs="Arial"/>
          <w:color w:val="000000" w:themeColor="text1"/>
          <w:sz w:val="20"/>
        </w:rPr>
        <w:t>its employees, officers, agents or subcontractors. The Investment Manager shall be responsible for the acts and omissions of any delegates and agents appointed by it to the same extent as if it has performed or failed to perform the acts itself irrespective of the consent from the Manager in relation to the appointment.</w:t>
      </w:r>
    </w:p>
    <w:p w14:paraId="01410510" w14:textId="77777777" w:rsidR="00311F8E" w:rsidRPr="00AB6071" w:rsidRDefault="00311F8E" w:rsidP="00AB6071">
      <w:pPr>
        <w:spacing w:line="288" w:lineRule="auto"/>
        <w:ind w:left="3600" w:hanging="3600"/>
        <w:rPr>
          <w:rFonts w:ascii="Arial" w:hAnsi="Arial" w:cs="Arial"/>
          <w:b/>
          <w:color w:val="000000" w:themeColor="text1"/>
          <w:sz w:val="20"/>
        </w:rPr>
      </w:pPr>
    </w:p>
    <w:p w14:paraId="16A6748F" w14:textId="7793EEE7" w:rsidR="00513C9B" w:rsidRPr="00AB6071" w:rsidRDefault="00424751" w:rsidP="00AB6071">
      <w:pPr>
        <w:spacing w:line="288" w:lineRule="auto"/>
        <w:ind w:left="3600" w:hanging="3600"/>
        <w:rPr>
          <w:rFonts w:ascii="Arial" w:hAnsi="Arial" w:cs="Arial"/>
          <w:color w:val="000000" w:themeColor="text1"/>
          <w:sz w:val="20"/>
        </w:rPr>
      </w:pPr>
      <w:r w:rsidRPr="00AB6071">
        <w:rPr>
          <w:rFonts w:ascii="Arial" w:hAnsi="Arial" w:cs="Arial"/>
          <w:b/>
          <w:color w:val="000000" w:themeColor="text1"/>
          <w:sz w:val="20"/>
        </w:rPr>
        <w:t>Fees:</w:t>
      </w:r>
    </w:p>
    <w:p w14:paraId="0AD257B6" w14:textId="77777777" w:rsidR="00513C9B" w:rsidRPr="00AB6071" w:rsidRDefault="00424751"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Investors’ attention is drawn to the sections in the Prospectus headed “Fees and Expenses”, which include: </w:t>
      </w:r>
    </w:p>
    <w:p w14:paraId="427B98B7" w14:textId="77777777" w:rsidR="00513C9B" w:rsidRPr="00AB6071" w:rsidRDefault="00424751" w:rsidP="00AB6071">
      <w:pPr>
        <w:spacing w:line="288" w:lineRule="auto"/>
        <w:rPr>
          <w:rFonts w:ascii="Arial" w:hAnsi="Arial" w:cs="Arial"/>
          <w:color w:val="000000" w:themeColor="text1"/>
          <w:sz w:val="20"/>
        </w:rPr>
      </w:pP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p>
    <w:p w14:paraId="1A9E75C8" w14:textId="77777777" w:rsidR="00513C9B" w:rsidRPr="00AB6071" w:rsidRDefault="00424751" w:rsidP="00AB6071">
      <w:pPr>
        <w:spacing w:line="288" w:lineRule="auto"/>
        <w:ind w:left="4320" w:hanging="720"/>
        <w:rPr>
          <w:rFonts w:ascii="Arial" w:hAnsi="Arial" w:cs="Arial"/>
          <w:color w:val="000000" w:themeColor="text1"/>
          <w:sz w:val="20"/>
        </w:rPr>
      </w:pPr>
      <w:r w:rsidRPr="00AB6071">
        <w:rPr>
          <w:rFonts w:ascii="Arial" w:hAnsi="Arial" w:cs="Arial"/>
          <w:color w:val="000000" w:themeColor="text1"/>
          <w:sz w:val="20"/>
        </w:rPr>
        <w:t>(i)</w:t>
      </w:r>
      <w:r w:rsidRPr="00AB6071">
        <w:rPr>
          <w:rFonts w:ascii="Arial" w:hAnsi="Arial" w:cs="Arial"/>
          <w:color w:val="000000" w:themeColor="text1"/>
          <w:sz w:val="20"/>
        </w:rPr>
        <w:tab/>
        <w:t xml:space="preserve">the maximum fees payable to the Depositary; </w:t>
      </w:r>
    </w:p>
    <w:p w14:paraId="4C193034" w14:textId="77777777" w:rsidR="00513C9B" w:rsidRPr="00AB6071" w:rsidRDefault="00513C9B" w:rsidP="00AB6071">
      <w:pPr>
        <w:spacing w:line="288" w:lineRule="auto"/>
        <w:ind w:left="2880" w:firstLine="720"/>
        <w:rPr>
          <w:rFonts w:ascii="Arial" w:hAnsi="Arial" w:cs="Arial"/>
          <w:color w:val="000000" w:themeColor="text1"/>
          <w:sz w:val="20"/>
        </w:rPr>
      </w:pPr>
    </w:p>
    <w:p w14:paraId="7D5B1DB8" w14:textId="14B752DC" w:rsidR="00513C9B" w:rsidRPr="00AB6071" w:rsidRDefault="00424751" w:rsidP="00AB6071">
      <w:pPr>
        <w:spacing w:line="288" w:lineRule="auto"/>
        <w:ind w:left="4320" w:hanging="720"/>
        <w:rPr>
          <w:rFonts w:ascii="Arial" w:hAnsi="Arial" w:cs="Arial"/>
          <w:color w:val="000000" w:themeColor="text1"/>
          <w:sz w:val="20"/>
        </w:rPr>
      </w:pPr>
      <w:r w:rsidRPr="00AB6071">
        <w:rPr>
          <w:rFonts w:ascii="Arial" w:hAnsi="Arial" w:cs="Arial"/>
          <w:color w:val="000000" w:themeColor="text1"/>
          <w:sz w:val="20"/>
        </w:rPr>
        <w:t>(ii)</w:t>
      </w:r>
      <w:r w:rsidRPr="00AB6071">
        <w:rPr>
          <w:rFonts w:ascii="Arial" w:hAnsi="Arial" w:cs="Arial"/>
          <w:color w:val="000000" w:themeColor="text1"/>
          <w:sz w:val="20"/>
        </w:rPr>
        <w:tab/>
        <w:t xml:space="preserve"> a preliminary fee of up to a maximum of 5.00% of the Subscription Price, subject to the Directors’ and the Manager’s discretion to waive such fee or to </w:t>
      </w:r>
      <w:r w:rsidRPr="00AB6071">
        <w:rPr>
          <w:rFonts w:ascii="Arial" w:hAnsi="Arial" w:cs="Arial"/>
          <w:color w:val="000000" w:themeColor="text1"/>
          <w:sz w:val="20"/>
        </w:rPr>
        <w:lastRenderedPageBreak/>
        <w:t xml:space="preserve">differentiate between Shareholders subject to the requirements of the Central Bank and </w:t>
      </w:r>
      <w:r w:rsidRPr="00AB6071">
        <w:rPr>
          <w:rFonts w:ascii="Arial" w:hAnsi="Arial" w:cs="Arial"/>
          <w:sz w:val="20"/>
        </w:rPr>
        <w:t>provided that Shareholders in the same position in the same Class shall be treated equally and fairly</w:t>
      </w:r>
      <w:r w:rsidR="00E101CC">
        <w:rPr>
          <w:rFonts w:ascii="Arial" w:hAnsi="Arial" w:cs="Arial"/>
          <w:sz w:val="20"/>
        </w:rPr>
        <w:t>;</w:t>
      </w:r>
      <w:r w:rsidRPr="00AB6071">
        <w:rPr>
          <w:rFonts w:ascii="Arial" w:hAnsi="Arial" w:cs="Arial"/>
          <w:sz w:val="20"/>
        </w:rPr>
        <w:t xml:space="preserve"> </w:t>
      </w:r>
    </w:p>
    <w:p w14:paraId="2B900C17" w14:textId="77777777" w:rsidR="00513C9B" w:rsidRPr="00AB6071" w:rsidRDefault="00513C9B" w:rsidP="00AB6071">
      <w:pPr>
        <w:spacing w:line="288" w:lineRule="auto"/>
        <w:ind w:left="2880" w:firstLine="720"/>
        <w:rPr>
          <w:rFonts w:ascii="Arial" w:hAnsi="Arial" w:cs="Arial"/>
          <w:color w:val="000000" w:themeColor="text1"/>
          <w:sz w:val="20"/>
        </w:rPr>
      </w:pPr>
    </w:p>
    <w:p w14:paraId="778B91FB" w14:textId="42A65084" w:rsidR="00311F8E" w:rsidRPr="00AB6071" w:rsidRDefault="00424751" w:rsidP="00AB6071">
      <w:pPr>
        <w:spacing w:line="288" w:lineRule="auto"/>
        <w:ind w:left="4320" w:hanging="720"/>
        <w:rPr>
          <w:rFonts w:ascii="Arial" w:hAnsi="Arial" w:cs="Arial"/>
          <w:sz w:val="20"/>
        </w:rPr>
      </w:pPr>
      <w:r w:rsidRPr="00AB6071">
        <w:rPr>
          <w:rFonts w:ascii="Arial" w:hAnsi="Arial" w:cs="Arial"/>
          <w:color w:val="000000" w:themeColor="text1"/>
          <w:sz w:val="20"/>
        </w:rPr>
        <w:t>(iii)</w:t>
      </w:r>
      <w:r w:rsidRPr="00AB6071">
        <w:rPr>
          <w:rFonts w:ascii="Arial" w:hAnsi="Arial" w:cs="Arial"/>
          <w:color w:val="000000" w:themeColor="text1"/>
          <w:sz w:val="20"/>
        </w:rPr>
        <w:tab/>
        <w:t>a redemption fee</w:t>
      </w:r>
      <w:r w:rsidRPr="00AB6071">
        <w:rPr>
          <w:rFonts w:ascii="Arial" w:hAnsi="Arial" w:cs="Arial"/>
          <w:sz w:val="20"/>
        </w:rPr>
        <w:t xml:space="preserve"> </w:t>
      </w:r>
      <w:r w:rsidRPr="00AB6071">
        <w:rPr>
          <w:rFonts w:ascii="Arial" w:hAnsi="Arial" w:cs="Arial"/>
          <w:color w:val="000000" w:themeColor="text1"/>
          <w:sz w:val="20"/>
        </w:rPr>
        <w:t>up to a maximum of 3.00% of the redemption price</w:t>
      </w:r>
      <w:r w:rsidR="00311F8E" w:rsidRPr="00AB6071">
        <w:rPr>
          <w:rFonts w:ascii="Arial" w:hAnsi="Arial" w:cs="Arial"/>
          <w:color w:val="000000" w:themeColor="text1"/>
          <w:sz w:val="20"/>
        </w:rPr>
        <w:t>,</w:t>
      </w:r>
      <w:r w:rsidRPr="00AB6071">
        <w:rPr>
          <w:rFonts w:ascii="Arial" w:hAnsi="Arial" w:cs="Arial"/>
          <w:color w:val="000000" w:themeColor="text1"/>
          <w:sz w:val="20"/>
        </w:rPr>
        <w:t xml:space="preserve"> subject to the Directors’ and the Manager’s discretion to waive such fee or to differentiate between Shareholders</w:t>
      </w:r>
      <w:r w:rsidR="00311F8E" w:rsidRPr="00AB6071">
        <w:rPr>
          <w:rFonts w:ascii="Arial" w:hAnsi="Arial" w:cs="Arial"/>
          <w:color w:val="000000" w:themeColor="text1"/>
          <w:sz w:val="20"/>
        </w:rPr>
        <w:t>,</w:t>
      </w:r>
      <w:r w:rsidRPr="00AB6071">
        <w:rPr>
          <w:rFonts w:ascii="Arial" w:hAnsi="Arial" w:cs="Arial"/>
          <w:sz w:val="20"/>
        </w:rPr>
        <w:t xml:space="preserve"> </w:t>
      </w:r>
      <w:r w:rsidRPr="00AB6071">
        <w:rPr>
          <w:rFonts w:ascii="Arial" w:hAnsi="Arial" w:cs="Arial"/>
          <w:color w:val="000000" w:themeColor="text1"/>
          <w:sz w:val="20"/>
        </w:rPr>
        <w:t>subject to the requirements of the Central Bank and</w:t>
      </w:r>
      <w:r w:rsidRPr="00AB6071">
        <w:rPr>
          <w:rFonts w:ascii="Arial" w:hAnsi="Arial" w:cs="Arial"/>
          <w:sz w:val="20"/>
        </w:rPr>
        <w:t xml:space="preserve"> provided that Shareholders in the same position in the same Class shall be treated equally and fairly</w:t>
      </w:r>
      <w:r w:rsidR="00E101CC">
        <w:rPr>
          <w:rFonts w:ascii="Arial" w:hAnsi="Arial" w:cs="Arial"/>
          <w:sz w:val="20"/>
        </w:rPr>
        <w:t>;</w:t>
      </w:r>
    </w:p>
    <w:p w14:paraId="502C85BA" w14:textId="5816A382" w:rsidR="00513C9B" w:rsidRPr="00AB6071" w:rsidRDefault="00424751" w:rsidP="00AB6071">
      <w:pPr>
        <w:spacing w:line="288" w:lineRule="auto"/>
        <w:ind w:left="4320" w:hanging="720"/>
        <w:rPr>
          <w:rFonts w:ascii="Arial" w:hAnsi="Arial" w:cs="Arial"/>
          <w:sz w:val="20"/>
        </w:rPr>
      </w:pPr>
      <w:r w:rsidRPr="00AB6071">
        <w:rPr>
          <w:rFonts w:ascii="Arial" w:hAnsi="Arial" w:cs="Arial"/>
          <w:sz w:val="20"/>
        </w:rPr>
        <w:t xml:space="preserve"> </w:t>
      </w:r>
    </w:p>
    <w:p w14:paraId="0B55907C" w14:textId="0ED8B574" w:rsidR="00311F8E" w:rsidRPr="00AB6071" w:rsidRDefault="00311F8E" w:rsidP="00AB6071">
      <w:pPr>
        <w:spacing w:line="288" w:lineRule="auto"/>
        <w:ind w:left="4320" w:hanging="720"/>
        <w:rPr>
          <w:rFonts w:ascii="Arial" w:hAnsi="Arial" w:cs="Arial"/>
          <w:color w:val="000000" w:themeColor="text1"/>
          <w:sz w:val="20"/>
        </w:rPr>
      </w:pPr>
      <w:r w:rsidRPr="00AB6071">
        <w:rPr>
          <w:rFonts w:ascii="Arial" w:hAnsi="Arial" w:cs="Arial"/>
          <w:color w:val="000000" w:themeColor="text1"/>
          <w:sz w:val="20"/>
        </w:rPr>
        <w:t>(iv)</w:t>
      </w:r>
      <w:r w:rsidRPr="00AB6071">
        <w:rPr>
          <w:rFonts w:ascii="Arial" w:hAnsi="Arial" w:cs="Arial"/>
          <w:color w:val="000000" w:themeColor="text1"/>
          <w:sz w:val="20"/>
        </w:rPr>
        <w:tab/>
        <w:t>Shareholders may switch between Funds, free of charge, on four occasions per annum.  Shareholders who switch on more than four occasions per annum may be subject to a charge of Euro 40 per switching transaction.</w:t>
      </w:r>
    </w:p>
    <w:p w14:paraId="17D49377" w14:textId="77777777" w:rsidR="00311F8E" w:rsidRPr="00AB6071" w:rsidRDefault="00311F8E" w:rsidP="00AB6071">
      <w:pPr>
        <w:spacing w:line="288" w:lineRule="auto"/>
        <w:ind w:left="4320" w:hanging="720"/>
        <w:rPr>
          <w:rFonts w:ascii="Arial" w:hAnsi="Arial" w:cs="Arial"/>
          <w:color w:val="000000" w:themeColor="text1"/>
          <w:sz w:val="20"/>
        </w:rPr>
      </w:pPr>
    </w:p>
    <w:p w14:paraId="5689774E" w14:textId="05EAF220" w:rsidR="00513C9B" w:rsidRPr="00AB6071" w:rsidRDefault="00424751"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Once launched, the Fund will bear its share, as determined</w:t>
      </w:r>
      <w:r w:rsidR="00AB6071" w:rsidRPr="00AB6071">
        <w:rPr>
          <w:rFonts w:ascii="Arial" w:hAnsi="Arial" w:cs="Arial"/>
          <w:color w:val="000000" w:themeColor="text1"/>
          <w:sz w:val="20"/>
        </w:rPr>
        <w:t xml:space="preserve"> by t</w:t>
      </w:r>
      <w:r w:rsidRPr="00AB6071">
        <w:rPr>
          <w:rFonts w:ascii="Arial" w:hAnsi="Arial" w:cs="Arial"/>
          <w:color w:val="000000" w:themeColor="text1"/>
          <w:sz w:val="20"/>
        </w:rPr>
        <w:t xml:space="preserve">he Directors and/or the Manager, of (i) the fees and expenses relating to its registration for sale in various markets and (ii) its attributable portion of the fees and operating expenses of the </w:t>
      </w:r>
      <w:r w:rsidR="0096687F" w:rsidRPr="00AB6071">
        <w:rPr>
          <w:rFonts w:ascii="Arial" w:hAnsi="Arial" w:cs="Arial"/>
          <w:color w:val="000000" w:themeColor="text1"/>
          <w:sz w:val="20"/>
        </w:rPr>
        <w:t>ICAV</w:t>
      </w:r>
      <w:r w:rsidRPr="00AB6071">
        <w:rPr>
          <w:rFonts w:ascii="Arial" w:hAnsi="Arial" w:cs="Arial"/>
          <w:color w:val="000000" w:themeColor="text1"/>
          <w:sz w:val="20"/>
        </w:rPr>
        <w:t>. Please refer to the section of the Prospectus entitled “Operating Expenses and Fees” for full details of these expenses.</w:t>
      </w:r>
    </w:p>
    <w:p w14:paraId="72B2BFC7" w14:textId="77777777" w:rsidR="00513C9B" w:rsidRPr="00AB6071" w:rsidRDefault="00513C9B" w:rsidP="00AB6071">
      <w:pPr>
        <w:spacing w:line="288" w:lineRule="auto"/>
        <w:ind w:left="3544"/>
        <w:rPr>
          <w:rFonts w:ascii="Arial" w:hAnsi="Arial" w:cs="Arial"/>
          <w:color w:val="000000" w:themeColor="text1"/>
          <w:sz w:val="20"/>
        </w:rPr>
      </w:pPr>
    </w:p>
    <w:p w14:paraId="4E742A55" w14:textId="46002DFA" w:rsidR="00513C9B" w:rsidRPr="00AB6071" w:rsidRDefault="00424751" w:rsidP="00AB6071">
      <w:pPr>
        <w:spacing w:line="288" w:lineRule="auto"/>
        <w:ind w:left="3544"/>
        <w:rPr>
          <w:rFonts w:ascii="Arial" w:hAnsi="Arial" w:cs="Arial"/>
          <w:color w:val="000000" w:themeColor="text1"/>
          <w:sz w:val="20"/>
        </w:rPr>
      </w:pPr>
      <w:r w:rsidRPr="00AB6071">
        <w:rPr>
          <w:rFonts w:ascii="Arial" w:hAnsi="Arial" w:cs="Arial"/>
          <w:color w:val="000000" w:themeColor="text1"/>
          <w:sz w:val="20"/>
        </w:rPr>
        <w:t xml:space="preserve">The fees and expenses relating to the establishment and organisation of the Fund including the </w:t>
      </w:r>
      <w:r w:rsidR="00183ADD" w:rsidRPr="00AB6071">
        <w:rPr>
          <w:rFonts w:ascii="Arial" w:hAnsi="Arial" w:cs="Arial"/>
          <w:color w:val="000000" w:themeColor="text1"/>
          <w:sz w:val="20"/>
        </w:rPr>
        <w:t xml:space="preserve">formation </w:t>
      </w:r>
      <w:r w:rsidRPr="00AB6071">
        <w:rPr>
          <w:rFonts w:ascii="Arial" w:hAnsi="Arial" w:cs="Arial"/>
          <w:color w:val="000000" w:themeColor="text1"/>
          <w:sz w:val="20"/>
        </w:rPr>
        <w:t xml:space="preserve">fees </w:t>
      </w:r>
      <w:r w:rsidR="00183ADD" w:rsidRPr="00AB6071">
        <w:rPr>
          <w:rFonts w:ascii="Arial" w:hAnsi="Arial" w:cs="Arial"/>
          <w:color w:val="000000" w:themeColor="text1"/>
          <w:sz w:val="20"/>
        </w:rPr>
        <w:t>payable to</w:t>
      </w:r>
      <w:r w:rsidRPr="00AB6071">
        <w:rPr>
          <w:rFonts w:ascii="Arial" w:hAnsi="Arial" w:cs="Arial"/>
          <w:color w:val="000000" w:themeColor="text1"/>
          <w:sz w:val="20"/>
        </w:rPr>
        <w:t xml:space="preserve"> the Fund’s </w:t>
      </w:r>
      <w:r w:rsidR="00183ADD" w:rsidRPr="00AB6071">
        <w:rPr>
          <w:rFonts w:ascii="Arial" w:hAnsi="Arial" w:cs="Arial"/>
          <w:color w:val="000000" w:themeColor="text1"/>
          <w:sz w:val="20"/>
        </w:rPr>
        <w:t xml:space="preserve">legal </w:t>
      </w:r>
      <w:r w:rsidRPr="00AB6071">
        <w:rPr>
          <w:rFonts w:ascii="Arial" w:hAnsi="Arial" w:cs="Arial"/>
          <w:color w:val="000000" w:themeColor="text1"/>
          <w:sz w:val="20"/>
        </w:rPr>
        <w:t>advisers</w:t>
      </w:r>
      <w:r w:rsidR="000D7C4F" w:rsidRPr="00AB6071">
        <w:rPr>
          <w:rFonts w:ascii="Arial" w:hAnsi="Arial" w:cs="Arial"/>
          <w:color w:val="000000" w:themeColor="text1"/>
          <w:sz w:val="20"/>
        </w:rPr>
        <w:t xml:space="preserve"> </w:t>
      </w:r>
      <w:r w:rsidRPr="00AB6071">
        <w:rPr>
          <w:rFonts w:ascii="Arial" w:hAnsi="Arial" w:cs="Arial"/>
          <w:color w:val="000000" w:themeColor="text1"/>
          <w:sz w:val="20"/>
        </w:rPr>
        <w:t xml:space="preserve"> will be borne by the Fund.  Such fees and expenses are estimated not to exceed €</w:t>
      </w:r>
      <w:r w:rsidR="0058009A" w:rsidRPr="00AB6071">
        <w:rPr>
          <w:rFonts w:ascii="Arial" w:hAnsi="Arial" w:cs="Arial"/>
          <w:color w:val="000000" w:themeColor="text1"/>
          <w:sz w:val="20"/>
        </w:rPr>
        <w:t>20,000</w:t>
      </w:r>
      <w:r w:rsidRPr="00AB6071">
        <w:rPr>
          <w:rFonts w:ascii="Arial" w:hAnsi="Arial" w:cs="Arial"/>
          <w:color w:val="000000" w:themeColor="text1"/>
          <w:sz w:val="20"/>
        </w:rPr>
        <w:t xml:space="preserve"> and will be borne by the Fund and will be amortised over a period of up to 5 years from the date of the launch of the Fund.</w:t>
      </w:r>
    </w:p>
    <w:p w14:paraId="05D0ECCC" w14:textId="77777777" w:rsidR="00513C9B" w:rsidRPr="00AB6071" w:rsidRDefault="00513C9B" w:rsidP="00AB6071">
      <w:pPr>
        <w:spacing w:line="288" w:lineRule="auto"/>
        <w:rPr>
          <w:rFonts w:ascii="Arial" w:hAnsi="Arial" w:cs="Arial"/>
          <w:color w:val="000000" w:themeColor="text1"/>
          <w:sz w:val="20"/>
        </w:rPr>
      </w:pPr>
    </w:p>
    <w:p w14:paraId="3B1902A2" w14:textId="77777777" w:rsidR="00513C9B" w:rsidRPr="00AB6071" w:rsidRDefault="00424751" w:rsidP="00AB6071">
      <w:pPr>
        <w:pBdr>
          <w:top w:val="single" w:sz="6" w:space="1" w:color="FFFFFF"/>
          <w:left w:val="single" w:sz="6" w:space="0" w:color="FFFFFF"/>
          <w:bottom w:val="single" w:sz="6" w:space="0" w:color="FFFFFF"/>
          <w:right w:val="single" w:sz="6" w:space="0" w:color="FFFFFF"/>
        </w:pBd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ind w:left="3600" w:hanging="3600"/>
        <w:rPr>
          <w:rFonts w:ascii="Arial" w:hAnsi="Arial" w:cs="Arial"/>
          <w:b/>
          <w:sz w:val="20"/>
        </w:rPr>
      </w:pPr>
      <w:bookmarkStart w:id="2" w:name="_Hlk13077208"/>
      <w:r w:rsidRPr="00AB6071">
        <w:rPr>
          <w:rFonts w:ascii="Arial" w:hAnsi="Arial" w:cs="Arial"/>
          <w:b/>
          <w:sz w:val="20"/>
        </w:rPr>
        <w:t xml:space="preserve">Management and Administration </w:t>
      </w:r>
    </w:p>
    <w:p w14:paraId="4986E75A" w14:textId="36EC46F2" w:rsidR="00513C9B" w:rsidRPr="00AB6071" w:rsidRDefault="00424751" w:rsidP="00AB6071">
      <w:pPr>
        <w:pBdr>
          <w:top w:val="single" w:sz="6" w:space="1" w:color="FFFFFF"/>
          <w:left w:val="single" w:sz="6" w:space="0" w:color="FFFFFF"/>
          <w:bottom w:val="single" w:sz="6" w:space="0" w:color="FFFFFF"/>
          <w:right w:val="single" w:sz="6" w:space="0" w:color="FFFFFF"/>
        </w:pBdr>
        <w:tabs>
          <w:tab w:val="left" w:pos="720"/>
          <w:tab w:val="left" w:pos="1440"/>
          <w:tab w:val="left" w:pos="2160"/>
          <w:tab w:val="left" w:pos="2430"/>
          <w:tab w:val="left" w:pos="4320"/>
          <w:tab w:val="left" w:pos="5040"/>
          <w:tab w:val="left" w:pos="5760"/>
          <w:tab w:val="left" w:pos="6480"/>
          <w:tab w:val="left" w:pos="7200"/>
          <w:tab w:val="left" w:pos="7920"/>
          <w:tab w:val="left" w:pos="8640"/>
        </w:tabs>
        <w:spacing w:line="288" w:lineRule="auto"/>
        <w:ind w:left="3544" w:hanging="3544"/>
        <w:rPr>
          <w:rFonts w:ascii="Arial" w:hAnsi="Arial" w:cs="Arial"/>
          <w:color w:val="000000" w:themeColor="text1"/>
          <w:sz w:val="20"/>
          <w:lang w:val="en-US" w:eastAsia="en-GB"/>
        </w:rPr>
      </w:pPr>
      <w:r w:rsidRPr="00AB6071">
        <w:rPr>
          <w:rFonts w:ascii="Arial" w:hAnsi="Arial" w:cs="Arial"/>
          <w:b/>
          <w:sz w:val="20"/>
        </w:rPr>
        <w:t>Fees:</w:t>
      </w:r>
      <w:r w:rsidRPr="00AB6071">
        <w:rPr>
          <w:rFonts w:ascii="Arial" w:hAnsi="Arial" w:cs="Arial"/>
          <w:sz w:val="20"/>
        </w:rPr>
        <w:tab/>
      </w:r>
      <w:r w:rsidRPr="00AB6071">
        <w:rPr>
          <w:rFonts w:ascii="Arial" w:hAnsi="Arial" w:cs="Arial"/>
          <w:sz w:val="20"/>
        </w:rPr>
        <w:tab/>
      </w:r>
      <w:r w:rsidRPr="00AB6071">
        <w:rPr>
          <w:rFonts w:ascii="Arial" w:hAnsi="Arial" w:cs="Arial"/>
          <w:sz w:val="20"/>
        </w:rPr>
        <w:tab/>
      </w:r>
      <w:r w:rsidRPr="00AB6071">
        <w:rPr>
          <w:rFonts w:ascii="Arial" w:hAnsi="Arial" w:cs="Arial"/>
          <w:sz w:val="20"/>
        </w:rPr>
        <w:tab/>
      </w:r>
      <w:r w:rsidRPr="00AB6071">
        <w:rPr>
          <w:rFonts w:ascii="Arial" w:hAnsi="Arial" w:cs="Arial"/>
          <w:sz w:val="20"/>
        </w:rPr>
        <w:tab/>
      </w:r>
      <w:bookmarkStart w:id="3" w:name="_Hlk525122823"/>
      <w:bookmarkStart w:id="4" w:name="_Hlk526166655"/>
      <w:r w:rsidRPr="00AB6071">
        <w:rPr>
          <w:rFonts w:ascii="Arial" w:hAnsi="Arial" w:cs="Arial"/>
          <w:color w:val="000000" w:themeColor="text1"/>
          <w:sz w:val="20"/>
        </w:rPr>
        <w:t xml:space="preserve">The Manager shall be entitled to receive out of the assets of the Fund the annual management </w:t>
      </w:r>
      <w:r w:rsidRPr="00AB6071">
        <w:rPr>
          <w:rFonts w:ascii="Arial" w:hAnsi="Arial" w:cs="Arial"/>
          <w:sz w:val="20"/>
        </w:rPr>
        <w:t>fees</w:t>
      </w:r>
      <w:r w:rsidR="005E4EC9" w:rsidRPr="00AB6071">
        <w:rPr>
          <w:rFonts w:ascii="Arial" w:hAnsi="Arial" w:cs="Arial"/>
          <w:sz w:val="20"/>
        </w:rPr>
        <w:t>, exclusive of VAT (if applicable),</w:t>
      </w:r>
      <w:r w:rsidRPr="00AB6071">
        <w:rPr>
          <w:rFonts w:ascii="Arial" w:hAnsi="Arial" w:cs="Arial"/>
          <w:sz w:val="20"/>
        </w:rPr>
        <w:t xml:space="preserve"> at the rates detailed in the table below, accrued and </w:t>
      </w:r>
      <w:r w:rsidRPr="00AB6071">
        <w:rPr>
          <w:rFonts w:ascii="Arial" w:hAnsi="Arial" w:cs="Arial"/>
          <w:color w:val="000000" w:themeColor="text1"/>
          <w:sz w:val="20"/>
          <w:lang w:val="en-US" w:eastAsia="en-GB"/>
        </w:rPr>
        <w:t>calculated at each Valuation Point</w:t>
      </w:r>
      <w:r w:rsidR="005E4EC9" w:rsidRPr="00AB6071">
        <w:rPr>
          <w:rFonts w:ascii="Arial" w:hAnsi="Arial" w:cs="Arial"/>
          <w:color w:val="000000" w:themeColor="text1"/>
          <w:sz w:val="20"/>
          <w:lang w:val="en-US" w:eastAsia="en-GB"/>
        </w:rPr>
        <w:t>, which fees</w:t>
      </w:r>
      <w:r w:rsidRPr="00AB6071">
        <w:rPr>
          <w:rFonts w:ascii="Arial" w:hAnsi="Arial" w:cs="Arial"/>
          <w:color w:val="000000" w:themeColor="text1"/>
          <w:sz w:val="20"/>
          <w:lang w:val="en-US" w:eastAsia="en-GB"/>
        </w:rPr>
        <w:t xml:space="preserve"> will be payable monthly in arrears.</w:t>
      </w:r>
      <w:bookmarkStart w:id="5" w:name="_Hlk525122786"/>
    </w:p>
    <w:p w14:paraId="5766541E" w14:textId="77777777" w:rsidR="00513C9B" w:rsidRPr="00AB6071" w:rsidRDefault="00513C9B" w:rsidP="00AB6071">
      <w:pPr>
        <w:pBdr>
          <w:top w:val="single" w:sz="6" w:space="1" w:color="FFFFFF"/>
          <w:left w:val="single" w:sz="6" w:space="0" w:color="FFFFFF"/>
          <w:bottom w:val="single" w:sz="6" w:space="0" w:color="FFFFFF"/>
          <w:right w:val="single" w:sz="6" w:space="0" w:color="FFFFFF"/>
        </w:pBd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ind w:left="3600" w:hanging="3600"/>
        <w:rPr>
          <w:rFonts w:ascii="Arial" w:hAnsi="Arial" w:cs="Arial"/>
          <w:color w:val="000000" w:themeColor="text1"/>
          <w:sz w:val="20"/>
        </w:rPr>
      </w:pPr>
    </w:p>
    <w:p w14:paraId="69CEA0D9" w14:textId="48BC71A1" w:rsidR="00745F92" w:rsidRPr="00AB6071" w:rsidRDefault="00424751" w:rsidP="00AB6071">
      <w:pPr>
        <w:pBdr>
          <w:top w:val="single" w:sz="6" w:space="1" w:color="FFFFFF"/>
          <w:left w:val="single" w:sz="6" w:space="0" w:color="FFFFFF"/>
          <w:bottom w:val="single" w:sz="6" w:space="0" w:color="FFFFFF"/>
          <w:right w:val="single" w:sz="6" w:space="0" w:color="FFFFFF"/>
        </w:pBdr>
        <w:tabs>
          <w:tab w:val="left" w:pos="720"/>
          <w:tab w:val="left" w:pos="1440"/>
          <w:tab w:val="left" w:pos="2160"/>
          <w:tab w:val="left" w:pos="2430"/>
          <w:tab w:val="left" w:pos="4320"/>
          <w:tab w:val="left" w:pos="5040"/>
          <w:tab w:val="left" w:pos="5760"/>
          <w:tab w:val="left" w:pos="6480"/>
          <w:tab w:val="left" w:pos="7200"/>
          <w:tab w:val="left" w:pos="7920"/>
          <w:tab w:val="left" w:pos="8640"/>
        </w:tabs>
        <w:spacing w:line="288" w:lineRule="auto"/>
        <w:ind w:left="3544" w:hanging="3544"/>
        <w:rPr>
          <w:rFonts w:ascii="Arial" w:hAnsi="Arial" w:cs="Arial"/>
          <w:color w:val="000000" w:themeColor="text1"/>
          <w:sz w:val="20"/>
        </w:rPr>
      </w:pP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r w:rsidRPr="00AB6071">
        <w:rPr>
          <w:rFonts w:ascii="Arial" w:hAnsi="Arial" w:cs="Arial"/>
          <w:color w:val="000000" w:themeColor="text1"/>
          <w:sz w:val="20"/>
        </w:rPr>
        <w:tab/>
      </w:r>
      <w:bookmarkStart w:id="6" w:name="_Hlk42501264"/>
      <w:r w:rsidRPr="00AB6071">
        <w:rPr>
          <w:rFonts w:ascii="Arial" w:hAnsi="Arial" w:cs="Arial"/>
          <w:color w:val="000000" w:themeColor="text1"/>
          <w:sz w:val="20"/>
        </w:rPr>
        <w:t xml:space="preserve">The </w:t>
      </w:r>
      <w:r w:rsidR="005E4EC9" w:rsidRPr="00AB6071">
        <w:rPr>
          <w:rFonts w:ascii="Arial" w:hAnsi="Arial" w:cs="Arial"/>
          <w:color w:val="000000" w:themeColor="text1"/>
          <w:sz w:val="20"/>
        </w:rPr>
        <w:t>annual management fee is</w:t>
      </w:r>
      <w:r w:rsidRPr="00AB6071">
        <w:rPr>
          <w:rFonts w:ascii="Arial" w:hAnsi="Arial" w:cs="Arial"/>
          <w:color w:val="000000" w:themeColor="text1"/>
          <w:sz w:val="20"/>
        </w:rPr>
        <w:t xml:space="preserve"> subject to </w:t>
      </w:r>
      <w:r w:rsidR="00392AF7" w:rsidRPr="00AB6071">
        <w:rPr>
          <w:rFonts w:ascii="Arial" w:hAnsi="Arial" w:cs="Arial"/>
          <w:color w:val="000000" w:themeColor="text1"/>
          <w:sz w:val="20"/>
        </w:rPr>
        <w:t>an annual</w:t>
      </w:r>
      <w:r w:rsidRPr="00AB6071">
        <w:rPr>
          <w:rFonts w:ascii="Arial" w:hAnsi="Arial" w:cs="Arial"/>
          <w:color w:val="000000" w:themeColor="text1"/>
          <w:sz w:val="20"/>
        </w:rPr>
        <w:t xml:space="preserve"> minimum of USD </w:t>
      </w:r>
      <w:r w:rsidR="00740B49" w:rsidRPr="00AB6071">
        <w:rPr>
          <w:rFonts w:ascii="Arial" w:hAnsi="Arial" w:cs="Arial"/>
          <w:color w:val="000000" w:themeColor="text1"/>
          <w:sz w:val="20"/>
        </w:rPr>
        <w:t>78</w:t>
      </w:r>
      <w:r w:rsidR="00D724F3" w:rsidRPr="00AB6071">
        <w:rPr>
          <w:rFonts w:ascii="Arial" w:hAnsi="Arial" w:cs="Arial"/>
          <w:color w:val="000000" w:themeColor="text1"/>
          <w:sz w:val="20"/>
        </w:rPr>
        <w:t>,</w:t>
      </w:r>
      <w:r w:rsidR="00740B49" w:rsidRPr="00AB6071">
        <w:rPr>
          <w:rFonts w:ascii="Arial" w:hAnsi="Arial" w:cs="Arial"/>
          <w:color w:val="000000" w:themeColor="text1"/>
          <w:sz w:val="20"/>
        </w:rPr>
        <w:t>000</w:t>
      </w:r>
      <w:r w:rsidRPr="00AB6071">
        <w:rPr>
          <w:rFonts w:ascii="Arial" w:hAnsi="Arial" w:cs="Arial"/>
          <w:color w:val="000000" w:themeColor="text1"/>
          <w:sz w:val="20"/>
        </w:rPr>
        <w:t xml:space="preserve"> </w:t>
      </w:r>
      <w:bookmarkEnd w:id="6"/>
      <w:r w:rsidRPr="00AB6071">
        <w:rPr>
          <w:rFonts w:ascii="Arial" w:hAnsi="Arial" w:cs="Arial"/>
          <w:color w:val="000000" w:themeColor="text1"/>
          <w:sz w:val="20"/>
        </w:rPr>
        <w:t>which may be waived in fu</w:t>
      </w:r>
      <w:r w:rsidR="00A16C00" w:rsidRPr="00AB6071">
        <w:rPr>
          <w:rFonts w:ascii="Arial" w:hAnsi="Arial" w:cs="Arial"/>
          <w:color w:val="000000" w:themeColor="text1"/>
          <w:sz w:val="20"/>
        </w:rPr>
        <w:t xml:space="preserve">ll or in part at the discretion </w:t>
      </w:r>
      <w:r w:rsidRPr="00AB6071">
        <w:rPr>
          <w:rFonts w:ascii="Arial" w:hAnsi="Arial" w:cs="Arial"/>
          <w:color w:val="000000" w:themeColor="text1"/>
          <w:sz w:val="20"/>
        </w:rPr>
        <w:t xml:space="preserve">of the Manager. </w:t>
      </w:r>
    </w:p>
    <w:p w14:paraId="005FF93F" w14:textId="77777777" w:rsidR="00AB6071" w:rsidRPr="00AB6071" w:rsidRDefault="00AB6071" w:rsidP="00AB6071">
      <w:pPr>
        <w:pBdr>
          <w:top w:val="single" w:sz="6" w:space="1" w:color="FFFFFF"/>
          <w:left w:val="single" w:sz="6" w:space="0" w:color="FFFFFF"/>
          <w:bottom w:val="single" w:sz="6" w:space="0" w:color="FFFFFF"/>
          <w:right w:val="single" w:sz="6" w:space="0" w:color="FFFFFF"/>
        </w:pBdr>
        <w:tabs>
          <w:tab w:val="left" w:pos="720"/>
          <w:tab w:val="left" w:pos="1440"/>
          <w:tab w:val="left" w:pos="2160"/>
          <w:tab w:val="left" w:pos="2430"/>
          <w:tab w:val="left" w:pos="4320"/>
          <w:tab w:val="left" w:pos="5040"/>
          <w:tab w:val="left" w:pos="5760"/>
          <w:tab w:val="left" w:pos="6480"/>
          <w:tab w:val="left" w:pos="7200"/>
          <w:tab w:val="left" w:pos="7920"/>
          <w:tab w:val="left" w:pos="8640"/>
        </w:tabs>
        <w:spacing w:line="288" w:lineRule="auto"/>
        <w:ind w:left="3544" w:hanging="3544"/>
        <w:rPr>
          <w:rFonts w:ascii="Arial" w:hAnsi="Arial" w:cs="Arial"/>
          <w:color w:val="000000" w:themeColor="text1"/>
          <w:sz w:val="20"/>
        </w:rPr>
      </w:pPr>
    </w:p>
    <w:tbl>
      <w:tblPr>
        <w:tblStyle w:val="TableGrid"/>
        <w:tblW w:w="0" w:type="auto"/>
        <w:tblInd w:w="3600" w:type="dxa"/>
        <w:tblLook w:val="04A0" w:firstRow="1" w:lastRow="0" w:firstColumn="1" w:lastColumn="0" w:noHBand="0" w:noVBand="1"/>
      </w:tblPr>
      <w:tblGrid>
        <w:gridCol w:w="1782"/>
        <w:gridCol w:w="3634"/>
      </w:tblGrid>
      <w:tr w:rsidR="00513C9B" w:rsidRPr="00AB6071" w14:paraId="3E55E4EE" w14:textId="77777777">
        <w:tc>
          <w:tcPr>
            <w:tcW w:w="1782" w:type="dxa"/>
            <w:shd w:val="clear" w:color="auto" w:fill="BFBFBF" w:themeFill="background1" w:themeFillShade="BF"/>
          </w:tcPr>
          <w:p w14:paraId="10383D91" w14:textId="4697BFF2" w:rsidR="00513C9B" w:rsidRPr="00AB6071" w:rsidRDefault="00424751"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bookmarkStart w:id="7" w:name="_Hlk536101022"/>
            <w:r w:rsidRPr="00AB6071">
              <w:rPr>
                <w:rFonts w:ascii="Arial" w:hAnsi="Arial" w:cs="Arial"/>
                <w:b/>
                <w:sz w:val="20"/>
              </w:rPr>
              <w:t xml:space="preserve">Net Asset Value </w:t>
            </w:r>
          </w:p>
          <w:p w14:paraId="589E920E" w14:textId="77777777" w:rsidR="00513C9B" w:rsidRPr="00AB6071" w:rsidRDefault="00513C9B"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b/>
                <w:color w:val="000000" w:themeColor="text1"/>
                <w:sz w:val="20"/>
                <w:lang w:val="en-US" w:eastAsia="en-GB"/>
              </w:rPr>
            </w:pPr>
          </w:p>
        </w:tc>
        <w:tc>
          <w:tcPr>
            <w:tcW w:w="3634" w:type="dxa"/>
            <w:shd w:val="clear" w:color="auto" w:fill="BFBFBF" w:themeFill="background1" w:themeFillShade="BF"/>
          </w:tcPr>
          <w:p w14:paraId="56560DA2" w14:textId="77777777" w:rsidR="00513C9B" w:rsidRPr="00AB6071" w:rsidRDefault="00424751"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b/>
                <w:color w:val="000000" w:themeColor="text1"/>
                <w:sz w:val="20"/>
                <w:lang w:val="en-US" w:eastAsia="en-GB"/>
              </w:rPr>
            </w:pPr>
            <w:r w:rsidRPr="00AB6071">
              <w:rPr>
                <w:rFonts w:ascii="Arial" w:hAnsi="Arial" w:cs="Arial"/>
                <w:b/>
                <w:sz w:val="20"/>
              </w:rPr>
              <w:t xml:space="preserve">Annual Management Fee </w:t>
            </w:r>
          </w:p>
        </w:tc>
      </w:tr>
      <w:tr w:rsidR="00513C9B" w:rsidRPr="00AB6071" w14:paraId="4786C279" w14:textId="77777777">
        <w:tc>
          <w:tcPr>
            <w:tcW w:w="1782" w:type="dxa"/>
          </w:tcPr>
          <w:p w14:paraId="003C5994" w14:textId="77777777" w:rsidR="00513C9B" w:rsidRPr="00AB6071" w:rsidRDefault="00424751"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lang w:val="en-US" w:eastAsia="en-GB"/>
              </w:rPr>
            </w:pPr>
            <w:r w:rsidRPr="00AB6071">
              <w:rPr>
                <w:rFonts w:ascii="Arial" w:hAnsi="Arial" w:cs="Arial"/>
                <w:sz w:val="20"/>
              </w:rPr>
              <w:t>From USD 0 to USD 100 million</w:t>
            </w:r>
          </w:p>
        </w:tc>
        <w:tc>
          <w:tcPr>
            <w:tcW w:w="3634" w:type="dxa"/>
          </w:tcPr>
          <w:p w14:paraId="26453173" w14:textId="57881172" w:rsidR="00513C9B" w:rsidRPr="00AB6071" w:rsidRDefault="00740B49"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lang w:val="en-US" w:eastAsia="en-GB"/>
              </w:rPr>
            </w:pPr>
            <w:r w:rsidRPr="00AB6071">
              <w:rPr>
                <w:rFonts w:ascii="Arial" w:hAnsi="Arial" w:cs="Arial"/>
                <w:sz w:val="20"/>
              </w:rPr>
              <w:t>0.116</w:t>
            </w:r>
            <w:r w:rsidR="00424751" w:rsidRPr="00AB6071">
              <w:rPr>
                <w:rFonts w:ascii="Arial" w:hAnsi="Arial" w:cs="Arial"/>
                <w:sz w:val="20"/>
              </w:rPr>
              <w:t>% of the NAV of the Fund</w:t>
            </w:r>
          </w:p>
        </w:tc>
      </w:tr>
      <w:tr w:rsidR="00513C9B" w:rsidRPr="00AB6071" w14:paraId="7B021CB4" w14:textId="77777777">
        <w:tc>
          <w:tcPr>
            <w:tcW w:w="1782" w:type="dxa"/>
          </w:tcPr>
          <w:p w14:paraId="17DF7EF1" w14:textId="77777777" w:rsidR="00513C9B" w:rsidRPr="00AB6071" w:rsidRDefault="00424751"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lang w:val="en-US" w:eastAsia="en-GB"/>
              </w:rPr>
            </w:pPr>
            <w:r w:rsidRPr="00AB6071">
              <w:rPr>
                <w:rFonts w:ascii="Arial" w:hAnsi="Arial" w:cs="Arial"/>
                <w:sz w:val="20"/>
              </w:rPr>
              <w:lastRenderedPageBreak/>
              <w:t>From USD 100 to USD 250 million</w:t>
            </w:r>
          </w:p>
        </w:tc>
        <w:tc>
          <w:tcPr>
            <w:tcW w:w="3634" w:type="dxa"/>
          </w:tcPr>
          <w:p w14:paraId="74159500" w14:textId="1A1231AF" w:rsidR="00513C9B" w:rsidRPr="00AB6071" w:rsidRDefault="00740B49"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lang w:val="en-US" w:eastAsia="en-GB"/>
              </w:rPr>
            </w:pPr>
            <w:r w:rsidRPr="00AB6071">
              <w:rPr>
                <w:rFonts w:ascii="Arial" w:hAnsi="Arial" w:cs="Arial"/>
                <w:sz w:val="20"/>
              </w:rPr>
              <w:t>0.095</w:t>
            </w:r>
            <w:r w:rsidR="00424751" w:rsidRPr="00AB6071">
              <w:rPr>
                <w:rFonts w:ascii="Arial" w:hAnsi="Arial" w:cs="Arial"/>
                <w:sz w:val="20"/>
              </w:rPr>
              <w:t>% of the NAV of the Fund</w:t>
            </w:r>
          </w:p>
        </w:tc>
      </w:tr>
      <w:tr w:rsidR="00513C9B" w:rsidRPr="00AB6071" w14:paraId="6CBD6B43" w14:textId="77777777">
        <w:tc>
          <w:tcPr>
            <w:tcW w:w="1782" w:type="dxa"/>
          </w:tcPr>
          <w:p w14:paraId="6CCD9641" w14:textId="5ACC224C" w:rsidR="00513C9B" w:rsidRPr="00AB6071" w:rsidRDefault="00424751"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lang w:val="en-US" w:eastAsia="en-GB"/>
              </w:rPr>
            </w:pPr>
            <w:r w:rsidRPr="00AB6071">
              <w:rPr>
                <w:rFonts w:ascii="Arial" w:hAnsi="Arial" w:cs="Arial"/>
                <w:sz w:val="20"/>
              </w:rPr>
              <w:t xml:space="preserve">From and above USD </w:t>
            </w:r>
            <w:r w:rsidR="00740B49" w:rsidRPr="00AB6071">
              <w:rPr>
                <w:rFonts w:ascii="Arial" w:hAnsi="Arial" w:cs="Arial"/>
                <w:sz w:val="20"/>
              </w:rPr>
              <w:t>250</w:t>
            </w:r>
            <w:r w:rsidRPr="00AB6071">
              <w:rPr>
                <w:rFonts w:ascii="Arial" w:hAnsi="Arial" w:cs="Arial"/>
                <w:sz w:val="20"/>
              </w:rPr>
              <w:t xml:space="preserve"> million</w:t>
            </w:r>
          </w:p>
        </w:tc>
        <w:tc>
          <w:tcPr>
            <w:tcW w:w="3634" w:type="dxa"/>
          </w:tcPr>
          <w:p w14:paraId="260A1B13" w14:textId="644C986C" w:rsidR="00513C9B" w:rsidRPr="00AB6071" w:rsidRDefault="00740B49" w:rsidP="00AB6071">
            <w:pPr>
              <w:tabs>
                <w:tab w:val="left" w:pos="720"/>
                <w:tab w:val="left" w:pos="1440"/>
                <w:tab w:val="left" w:pos="2160"/>
                <w:tab w:val="left" w:pos="243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lang w:val="en-US" w:eastAsia="en-GB"/>
              </w:rPr>
            </w:pPr>
            <w:r w:rsidRPr="00AB6071">
              <w:rPr>
                <w:rFonts w:ascii="Arial" w:hAnsi="Arial" w:cs="Arial"/>
                <w:sz w:val="20"/>
              </w:rPr>
              <w:t>0.074</w:t>
            </w:r>
            <w:r w:rsidR="00424751" w:rsidRPr="00AB6071">
              <w:rPr>
                <w:rFonts w:ascii="Arial" w:hAnsi="Arial" w:cs="Arial"/>
                <w:sz w:val="20"/>
              </w:rPr>
              <w:t>% of the NAV of the Fund</w:t>
            </w:r>
          </w:p>
        </w:tc>
      </w:tr>
      <w:bookmarkEnd w:id="3"/>
      <w:bookmarkEnd w:id="5"/>
      <w:bookmarkEnd w:id="7"/>
    </w:tbl>
    <w:p w14:paraId="39C8CE7E" w14:textId="77777777" w:rsidR="00513C9B" w:rsidRPr="00AB6071" w:rsidRDefault="00513C9B" w:rsidP="00AB6071">
      <w:pPr>
        <w:spacing w:line="288" w:lineRule="auto"/>
        <w:rPr>
          <w:rFonts w:ascii="Arial" w:hAnsi="Arial" w:cs="Arial"/>
          <w:color w:val="000000" w:themeColor="text1"/>
          <w:sz w:val="20"/>
        </w:rPr>
      </w:pPr>
    </w:p>
    <w:p w14:paraId="67A69A01" w14:textId="0CD60E96" w:rsidR="00513C9B" w:rsidRPr="00AB6071" w:rsidRDefault="00424751" w:rsidP="00AB6071">
      <w:pPr>
        <w:spacing w:line="288" w:lineRule="auto"/>
        <w:ind w:left="3686"/>
        <w:rPr>
          <w:rFonts w:ascii="Arial" w:hAnsi="Arial" w:cs="Arial"/>
          <w:color w:val="000000" w:themeColor="text1"/>
          <w:sz w:val="20"/>
        </w:rPr>
      </w:pPr>
      <w:r w:rsidRPr="00AB6071">
        <w:rPr>
          <w:rFonts w:ascii="Arial" w:hAnsi="Arial" w:cs="Arial"/>
          <w:color w:val="000000" w:themeColor="text1"/>
          <w:sz w:val="20"/>
        </w:rPr>
        <w:t>Investors’ attention is also drawn to the sections in the Prospectus headed “</w:t>
      </w:r>
      <w:r w:rsidRPr="00AB6071">
        <w:rPr>
          <w:rFonts w:ascii="Arial" w:hAnsi="Arial" w:cs="Arial"/>
          <w:i/>
          <w:color w:val="000000" w:themeColor="text1"/>
          <w:sz w:val="20"/>
        </w:rPr>
        <w:t>Fees and Expenses</w:t>
      </w:r>
      <w:r w:rsidRPr="00AB6071">
        <w:rPr>
          <w:rFonts w:ascii="Arial" w:hAnsi="Arial" w:cs="Arial"/>
          <w:color w:val="000000" w:themeColor="text1"/>
          <w:sz w:val="20"/>
        </w:rPr>
        <w:t>” - “</w:t>
      </w:r>
      <w:r w:rsidRPr="00AB6071">
        <w:rPr>
          <w:rFonts w:ascii="Arial" w:hAnsi="Arial" w:cs="Arial"/>
          <w:i/>
          <w:color w:val="000000" w:themeColor="text1"/>
          <w:sz w:val="20"/>
        </w:rPr>
        <w:t>Management Fees</w:t>
      </w:r>
      <w:r w:rsidRPr="00AB6071">
        <w:rPr>
          <w:rFonts w:ascii="Arial" w:hAnsi="Arial" w:cs="Arial"/>
          <w:color w:val="000000" w:themeColor="text1"/>
          <w:sz w:val="20"/>
        </w:rPr>
        <w:t>”.</w:t>
      </w:r>
      <w:bookmarkEnd w:id="4"/>
    </w:p>
    <w:bookmarkEnd w:id="2"/>
    <w:p w14:paraId="7D6EF738" w14:textId="77777777" w:rsidR="00513C9B" w:rsidRPr="00AB6071" w:rsidRDefault="00513C9B" w:rsidP="00AB6071">
      <w:pPr>
        <w:spacing w:line="288" w:lineRule="auto"/>
        <w:ind w:left="3600"/>
        <w:rPr>
          <w:rFonts w:ascii="Arial" w:hAnsi="Arial" w:cs="Arial"/>
          <w:color w:val="000000" w:themeColor="text1"/>
          <w:sz w:val="20"/>
        </w:rPr>
      </w:pPr>
    </w:p>
    <w:p w14:paraId="250F1DE6" w14:textId="027E9830" w:rsidR="00513C9B" w:rsidRPr="00AB6071" w:rsidRDefault="00424751" w:rsidP="00AB6071">
      <w:pPr>
        <w:spacing w:line="288" w:lineRule="auto"/>
        <w:ind w:left="3600" w:hanging="3600"/>
        <w:rPr>
          <w:rFonts w:ascii="Arial" w:hAnsi="Arial" w:cs="Arial"/>
          <w:color w:val="000000" w:themeColor="text1"/>
          <w:sz w:val="20"/>
        </w:rPr>
      </w:pPr>
      <w:r w:rsidRPr="00AB6071">
        <w:rPr>
          <w:rFonts w:ascii="Arial" w:hAnsi="Arial" w:cs="Arial"/>
          <w:b/>
          <w:color w:val="000000" w:themeColor="text1"/>
          <w:sz w:val="20"/>
        </w:rPr>
        <w:t>Investment Management Fees:</w:t>
      </w:r>
      <w:r w:rsidRPr="00AB6071">
        <w:rPr>
          <w:rFonts w:ascii="Arial" w:hAnsi="Arial" w:cs="Arial"/>
          <w:color w:val="000000" w:themeColor="text1"/>
          <w:sz w:val="20"/>
        </w:rPr>
        <w:tab/>
        <w:t xml:space="preserve">The </w:t>
      </w:r>
      <w:r w:rsidR="0096687F" w:rsidRPr="00AB6071">
        <w:rPr>
          <w:rFonts w:ascii="Arial" w:hAnsi="Arial" w:cs="Arial"/>
          <w:color w:val="000000" w:themeColor="text1"/>
          <w:sz w:val="20"/>
        </w:rPr>
        <w:t>ICAV</w:t>
      </w:r>
      <w:r w:rsidRPr="00AB6071">
        <w:rPr>
          <w:rFonts w:ascii="Arial" w:hAnsi="Arial" w:cs="Arial"/>
          <w:color w:val="000000" w:themeColor="text1"/>
          <w:sz w:val="20"/>
        </w:rPr>
        <w:t xml:space="preserve"> shall pay the Investment Manager out of the assets of the Fund the following annual fee, exclusive of VAT, in respect to each Class. The fees payable to the Investment Manager will be calculated and accrued daily based on the daily Net Asset Value of the relevant Class and will be paid monthly in arrears.</w:t>
      </w:r>
    </w:p>
    <w:p w14:paraId="4FFAD273" w14:textId="77777777" w:rsidR="00513C9B" w:rsidRPr="00AB6071" w:rsidRDefault="00513C9B" w:rsidP="00AB6071">
      <w:pPr>
        <w:spacing w:line="288" w:lineRule="auto"/>
        <w:ind w:left="3600" w:hanging="3600"/>
        <w:rPr>
          <w:rFonts w:ascii="Arial" w:hAnsi="Arial" w:cs="Arial"/>
          <w:color w:val="000000" w:themeColor="text1"/>
          <w:sz w:val="20"/>
        </w:rPr>
      </w:pPr>
    </w:p>
    <w:tbl>
      <w:tblPr>
        <w:tblStyle w:val="TableGrid"/>
        <w:tblW w:w="5467" w:type="dxa"/>
        <w:tblInd w:w="3600" w:type="dxa"/>
        <w:tblLayout w:type="fixed"/>
        <w:tblLook w:val="04A0" w:firstRow="1" w:lastRow="0" w:firstColumn="1" w:lastColumn="0" w:noHBand="0" w:noVBand="1"/>
      </w:tblPr>
      <w:tblGrid>
        <w:gridCol w:w="1073"/>
        <w:gridCol w:w="1276"/>
        <w:gridCol w:w="3118"/>
      </w:tblGrid>
      <w:tr w:rsidR="00513C9B" w:rsidRPr="00AB6071" w14:paraId="1286110B" w14:textId="77777777">
        <w:trPr>
          <w:trHeight w:val="401"/>
        </w:trPr>
        <w:tc>
          <w:tcPr>
            <w:tcW w:w="1073" w:type="dxa"/>
            <w:shd w:val="clear" w:color="auto" w:fill="BFBFBF" w:themeFill="background1" w:themeFillShade="BF"/>
          </w:tcPr>
          <w:p w14:paraId="64687412" w14:textId="77777777" w:rsidR="00513C9B" w:rsidRPr="00AB6071" w:rsidRDefault="00424751" w:rsidP="00AB6071">
            <w:pPr>
              <w:spacing w:line="288" w:lineRule="auto"/>
              <w:outlineLvl w:val="0"/>
              <w:rPr>
                <w:rFonts w:ascii="Arial" w:hAnsi="Arial" w:cs="Arial"/>
                <w:b/>
                <w:color w:val="000000" w:themeColor="text1"/>
                <w:sz w:val="20"/>
              </w:rPr>
            </w:pPr>
            <w:bookmarkStart w:id="8" w:name="_Hlk14960284"/>
            <w:r w:rsidRPr="00AB6071">
              <w:rPr>
                <w:rFonts w:ascii="Arial" w:hAnsi="Arial" w:cs="Arial"/>
                <w:b/>
                <w:color w:val="000000" w:themeColor="text1"/>
                <w:sz w:val="20"/>
              </w:rPr>
              <w:t>Class:</w:t>
            </w:r>
          </w:p>
        </w:tc>
        <w:tc>
          <w:tcPr>
            <w:tcW w:w="1276" w:type="dxa"/>
            <w:shd w:val="clear" w:color="auto" w:fill="BFBFBF" w:themeFill="background1" w:themeFillShade="BF"/>
          </w:tcPr>
          <w:p w14:paraId="1639BEC4" w14:textId="77777777" w:rsidR="00513C9B" w:rsidRPr="00AB6071" w:rsidRDefault="00424751" w:rsidP="00AB6071">
            <w:pPr>
              <w:spacing w:line="288" w:lineRule="auto"/>
              <w:outlineLvl w:val="0"/>
              <w:rPr>
                <w:rFonts w:ascii="Arial" w:hAnsi="Arial" w:cs="Arial"/>
                <w:b/>
                <w:color w:val="000000" w:themeColor="text1"/>
                <w:sz w:val="20"/>
              </w:rPr>
            </w:pPr>
            <w:r w:rsidRPr="00AB6071">
              <w:rPr>
                <w:rFonts w:ascii="Arial" w:hAnsi="Arial" w:cs="Arial"/>
                <w:b/>
                <w:color w:val="000000" w:themeColor="text1"/>
                <w:sz w:val="20"/>
              </w:rPr>
              <w:t>Currency:</w:t>
            </w:r>
          </w:p>
        </w:tc>
        <w:tc>
          <w:tcPr>
            <w:tcW w:w="3118" w:type="dxa"/>
            <w:shd w:val="clear" w:color="auto" w:fill="BFBFBF" w:themeFill="background1" w:themeFillShade="BF"/>
          </w:tcPr>
          <w:p w14:paraId="40583214" w14:textId="77777777" w:rsidR="00513C9B" w:rsidRPr="00AB6071" w:rsidRDefault="00424751" w:rsidP="00AB6071">
            <w:pPr>
              <w:spacing w:line="288" w:lineRule="auto"/>
              <w:outlineLvl w:val="0"/>
              <w:rPr>
                <w:rFonts w:ascii="Arial" w:hAnsi="Arial" w:cs="Arial"/>
                <w:b/>
                <w:color w:val="000000" w:themeColor="text1"/>
                <w:sz w:val="20"/>
              </w:rPr>
            </w:pPr>
            <w:r w:rsidRPr="00AB6071">
              <w:rPr>
                <w:rFonts w:ascii="Arial" w:hAnsi="Arial" w:cs="Arial"/>
                <w:b/>
                <w:color w:val="000000" w:themeColor="text1"/>
                <w:sz w:val="20"/>
              </w:rPr>
              <w:t>Rate:</w:t>
            </w:r>
          </w:p>
        </w:tc>
      </w:tr>
      <w:tr w:rsidR="00513C9B" w:rsidRPr="00AB6071" w14:paraId="74B92F5F" w14:textId="77777777">
        <w:tc>
          <w:tcPr>
            <w:tcW w:w="1073" w:type="dxa"/>
            <w:tcBorders>
              <w:top w:val="nil"/>
              <w:left w:val="single" w:sz="4" w:space="0" w:color="auto"/>
              <w:bottom w:val="single" w:sz="4" w:space="0" w:color="auto"/>
              <w:right w:val="single" w:sz="4" w:space="0" w:color="auto"/>
            </w:tcBorders>
            <w:vAlign w:val="center"/>
          </w:tcPr>
          <w:p w14:paraId="3C489C6D" w14:textId="42352939"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A </w:t>
            </w:r>
          </w:p>
        </w:tc>
        <w:tc>
          <w:tcPr>
            <w:tcW w:w="1276" w:type="dxa"/>
          </w:tcPr>
          <w:p w14:paraId="48A5DBBC" w14:textId="77777777"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c>
          <w:tcPr>
            <w:tcW w:w="3118" w:type="dxa"/>
            <w:vAlign w:val="center"/>
          </w:tcPr>
          <w:p w14:paraId="1DEBA8D8" w14:textId="2E304A36" w:rsidR="00513C9B" w:rsidRPr="00AB6071" w:rsidRDefault="00424751" w:rsidP="00AB6071">
            <w:pPr>
              <w:spacing w:line="288" w:lineRule="auto"/>
              <w:outlineLvl w:val="0"/>
              <w:rPr>
                <w:rFonts w:ascii="Arial" w:hAnsi="Arial" w:cs="Arial"/>
                <w:b/>
                <w:color w:val="000000" w:themeColor="text1"/>
                <w:sz w:val="20"/>
                <w:lang w:val="en-AU"/>
              </w:rPr>
            </w:pPr>
            <w:r w:rsidRPr="00AB6071">
              <w:rPr>
                <w:rFonts w:ascii="Arial" w:hAnsi="Arial" w:cs="Arial"/>
                <w:color w:val="000000"/>
                <w:sz w:val="20"/>
                <w:lang w:val="en-ZA" w:eastAsia="en-ZA"/>
              </w:rPr>
              <w:t>0.</w:t>
            </w:r>
            <w:r w:rsidR="008D74B6" w:rsidRPr="00AB6071">
              <w:rPr>
                <w:rFonts w:ascii="Arial" w:hAnsi="Arial" w:cs="Arial"/>
                <w:color w:val="000000"/>
                <w:sz w:val="20"/>
                <w:lang w:val="en-ZA" w:eastAsia="en-ZA"/>
              </w:rPr>
              <w:t>20</w:t>
            </w:r>
            <w:r w:rsidRPr="00AB6071">
              <w:rPr>
                <w:rFonts w:ascii="Arial" w:hAnsi="Arial" w:cs="Arial"/>
                <w:color w:val="000000"/>
                <w:sz w:val="20"/>
                <w:lang w:val="en-ZA" w:eastAsia="en-ZA"/>
              </w:rPr>
              <w:t>%</w:t>
            </w:r>
            <w:r w:rsidRPr="00AB6071">
              <w:rPr>
                <w:rFonts w:ascii="Arial" w:hAnsi="Arial" w:cs="Arial"/>
                <w:sz w:val="20"/>
              </w:rPr>
              <w:t xml:space="preserve"> of the N</w:t>
            </w:r>
            <w:r w:rsidR="008D74B6" w:rsidRPr="00AB6071">
              <w:rPr>
                <w:rFonts w:ascii="Arial" w:hAnsi="Arial" w:cs="Arial"/>
                <w:sz w:val="20"/>
              </w:rPr>
              <w:t xml:space="preserve">et Asset Value </w:t>
            </w:r>
            <w:r w:rsidRPr="00AB6071">
              <w:rPr>
                <w:rFonts w:ascii="Arial" w:hAnsi="Arial" w:cs="Arial"/>
                <w:sz w:val="20"/>
              </w:rPr>
              <w:t xml:space="preserve">of </w:t>
            </w:r>
            <w:r w:rsidR="008D74B6" w:rsidRPr="00AB6071">
              <w:rPr>
                <w:rFonts w:ascii="Arial" w:hAnsi="Arial" w:cs="Arial"/>
                <w:sz w:val="20"/>
              </w:rPr>
              <w:t xml:space="preserve">Class A Shares </w:t>
            </w:r>
          </w:p>
        </w:tc>
      </w:tr>
      <w:tr w:rsidR="00513C9B" w:rsidRPr="00AB6071" w14:paraId="33D656BF" w14:textId="77777777">
        <w:tc>
          <w:tcPr>
            <w:tcW w:w="1073" w:type="dxa"/>
            <w:tcBorders>
              <w:top w:val="nil"/>
              <w:left w:val="single" w:sz="4" w:space="0" w:color="auto"/>
              <w:bottom w:val="single" w:sz="4" w:space="0" w:color="auto"/>
              <w:right w:val="single" w:sz="4" w:space="0" w:color="auto"/>
            </w:tcBorders>
            <w:vAlign w:val="center"/>
          </w:tcPr>
          <w:p w14:paraId="7F5B4598" w14:textId="3734623D"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w:t>
            </w:r>
            <w:r w:rsidR="008D74B6" w:rsidRPr="00AB6071">
              <w:rPr>
                <w:rFonts w:ascii="Arial" w:hAnsi="Arial" w:cs="Arial"/>
                <w:color w:val="000000"/>
                <w:sz w:val="20"/>
              </w:rPr>
              <w:t>B</w:t>
            </w:r>
            <w:r w:rsidRPr="00AB6071">
              <w:rPr>
                <w:rFonts w:ascii="Arial" w:hAnsi="Arial" w:cs="Arial"/>
                <w:color w:val="000000"/>
                <w:sz w:val="20"/>
              </w:rPr>
              <w:t xml:space="preserve"> </w:t>
            </w:r>
          </w:p>
        </w:tc>
        <w:tc>
          <w:tcPr>
            <w:tcW w:w="1276" w:type="dxa"/>
          </w:tcPr>
          <w:p w14:paraId="6B89E29C" w14:textId="77777777"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c>
          <w:tcPr>
            <w:tcW w:w="3118" w:type="dxa"/>
            <w:vAlign w:val="center"/>
          </w:tcPr>
          <w:p w14:paraId="23C76765" w14:textId="1CC8DC75" w:rsidR="00513C9B" w:rsidRPr="00AB6071" w:rsidRDefault="008D74B6" w:rsidP="00AB6071">
            <w:pPr>
              <w:spacing w:line="288" w:lineRule="auto"/>
              <w:outlineLvl w:val="0"/>
              <w:rPr>
                <w:rFonts w:ascii="Arial" w:hAnsi="Arial" w:cs="Arial"/>
                <w:b/>
                <w:color w:val="000000" w:themeColor="text1"/>
                <w:sz w:val="20"/>
                <w:lang w:val="en-AU"/>
              </w:rPr>
            </w:pPr>
            <w:r w:rsidRPr="00AB6071">
              <w:rPr>
                <w:rFonts w:ascii="Arial" w:hAnsi="Arial" w:cs="Arial"/>
                <w:color w:val="000000"/>
                <w:sz w:val="20"/>
                <w:lang w:val="en-ZA" w:eastAsia="en-ZA"/>
              </w:rPr>
              <w:t>0.30</w:t>
            </w:r>
            <w:r w:rsidR="00424751" w:rsidRPr="00AB6071">
              <w:rPr>
                <w:rFonts w:ascii="Arial" w:hAnsi="Arial" w:cs="Arial"/>
                <w:color w:val="000000"/>
                <w:sz w:val="20"/>
                <w:lang w:val="en-ZA" w:eastAsia="en-ZA"/>
              </w:rPr>
              <w:t>%</w:t>
            </w:r>
            <w:r w:rsidR="00424751" w:rsidRPr="00AB6071">
              <w:rPr>
                <w:rFonts w:ascii="Arial" w:hAnsi="Arial" w:cs="Arial"/>
                <w:sz w:val="20"/>
              </w:rPr>
              <w:t xml:space="preserve"> of the </w:t>
            </w:r>
            <w:r w:rsidRPr="00AB6071">
              <w:rPr>
                <w:rFonts w:ascii="Arial" w:hAnsi="Arial" w:cs="Arial"/>
                <w:sz w:val="20"/>
              </w:rPr>
              <w:t xml:space="preserve">Net Asset Value </w:t>
            </w:r>
            <w:r w:rsidR="00424751" w:rsidRPr="00AB6071">
              <w:rPr>
                <w:rFonts w:ascii="Arial" w:hAnsi="Arial" w:cs="Arial"/>
                <w:sz w:val="20"/>
              </w:rPr>
              <w:t xml:space="preserve">of </w:t>
            </w:r>
            <w:r w:rsidRPr="00AB6071">
              <w:rPr>
                <w:rFonts w:ascii="Arial" w:hAnsi="Arial" w:cs="Arial"/>
                <w:sz w:val="20"/>
              </w:rPr>
              <w:t xml:space="preserve">Class B Shares </w:t>
            </w:r>
          </w:p>
        </w:tc>
      </w:tr>
      <w:tr w:rsidR="00513C9B" w:rsidRPr="00AB6071" w14:paraId="5E4A1A13" w14:textId="77777777">
        <w:tc>
          <w:tcPr>
            <w:tcW w:w="1073" w:type="dxa"/>
            <w:tcBorders>
              <w:top w:val="nil"/>
              <w:left w:val="single" w:sz="4" w:space="0" w:color="auto"/>
              <w:bottom w:val="single" w:sz="4" w:space="0" w:color="auto"/>
              <w:right w:val="single" w:sz="4" w:space="0" w:color="auto"/>
            </w:tcBorders>
            <w:vAlign w:val="center"/>
          </w:tcPr>
          <w:p w14:paraId="40CABB0C" w14:textId="14B66955"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w:t>
            </w:r>
            <w:r w:rsidR="008D74B6" w:rsidRPr="00AB6071">
              <w:rPr>
                <w:rFonts w:ascii="Arial" w:hAnsi="Arial" w:cs="Arial"/>
                <w:color w:val="000000"/>
                <w:sz w:val="20"/>
              </w:rPr>
              <w:t>C</w:t>
            </w:r>
            <w:r w:rsidRPr="00AB6071">
              <w:rPr>
                <w:rFonts w:ascii="Arial" w:hAnsi="Arial" w:cs="Arial"/>
                <w:color w:val="000000"/>
                <w:sz w:val="20"/>
              </w:rPr>
              <w:t xml:space="preserve"> </w:t>
            </w:r>
          </w:p>
        </w:tc>
        <w:tc>
          <w:tcPr>
            <w:tcW w:w="1276" w:type="dxa"/>
          </w:tcPr>
          <w:p w14:paraId="3C769726" w14:textId="77777777"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c>
          <w:tcPr>
            <w:tcW w:w="3118" w:type="dxa"/>
            <w:vAlign w:val="center"/>
          </w:tcPr>
          <w:p w14:paraId="2C9153D7" w14:textId="44E50CEC" w:rsidR="00513C9B" w:rsidRPr="00AB6071" w:rsidRDefault="00424751" w:rsidP="00AB6071">
            <w:pPr>
              <w:spacing w:line="288" w:lineRule="auto"/>
              <w:outlineLvl w:val="0"/>
              <w:rPr>
                <w:rFonts w:ascii="Arial" w:hAnsi="Arial" w:cs="Arial"/>
                <w:b/>
                <w:color w:val="000000" w:themeColor="text1"/>
                <w:sz w:val="20"/>
                <w:lang w:val="en-AU"/>
              </w:rPr>
            </w:pPr>
            <w:r w:rsidRPr="00AB6071">
              <w:rPr>
                <w:rFonts w:ascii="Arial" w:hAnsi="Arial" w:cs="Arial"/>
                <w:color w:val="000000"/>
                <w:sz w:val="20"/>
                <w:lang w:val="en-ZA" w:eastAsia="en-ZA"/>
              </w:rPr>
              <w:t>0.</w:t>
            </w:r>
            <w:r w:rsidR="008D74B6" w:rsidRPr="00AB6071">
              <w:rPr>
                <w:rFonts w:ascii="Arial" w:hAnsi="Arial" w:cs="Arial"/>
                <w:color w:val="000000"/>
                <w:sz w:val="20"/>
                <w:lang w:val="en-ZA" w:eastAsia="en-ZA"/>
              </w:rPr>
              <w:t>00</w:t>
            </w:r>
            <w:r w:rsidRPr="00AB6071">
              <w:rPr>
                <w:rFonts w:ascii="Arial" w:hAnsi="Arial" w:cs="Arial"/>
                <w:color w:val="000000"/>
                <w:sz w:val="20"/>
                <w:lang w:val="en-ZA" w:eastAsia="en-ZA"/>
              </w:rPr>
              <w:t>%</w:t>
            </w:r>
            <w:r w:rsidRPr="00AB6071">
              <w:rPr>
                <w:rFonts w:ascii="Arial" w:hAnsi="Arial" w:cs="Arial"/>
                <w:sz w:val="20"/>
              </w:rPr>
              <w:t xml:space="preserve"> of the </w:t>
            </w:r>
            <w:r w:rsidR="008D74B6" w:rsidRPr="00AB6071">
              <w:rPr>
                <w:rFonts w:ascii="Arial" w:hAnsi="Arial" w:cs="Arial"/>
                <w:sz w:val="20"/>
              </w:rPr>
              <w:t xml:space="preserve">Net Asset Value </w:t>
            </w:r>
            <w:r w:rsidRPr="00AB6071">
              <w:rPr>
                <w:rFonts w:ascii="Arial" w:hAnsi="Arial" w:cs="Arial"/>
                <w:sz w:val="20"/>
              </w:rPr>
              <w:t xml:space="preserve">of </w:t>
            </w:r>
            <w:r w:rsidR="008D74B6" w:rsidRPr="00AB6071">
              <w:rPr>
                <w:rFonts w:ascii="Arial" w:hAnsi="Arial" w:cs="Arial"/>
                <w:sz w:val="20"/>
              </w:rPr>
              <w:t xml:space="preserve">Class C Shares </w:t>
            </w:r>
          </w:p>
        </w:tc>
      </w:tr>
      <w:tr w:rsidR="00513C9B" w:rsidRPr="00AB6071" w14:paraId="143B8E3F" w14:textId="77777777">
        <w:tc>
          <w:tcPr>
            <w:tcW w:w="1073" w:type="dxa"/>
            <w:tcBorders>
              <w:top w:val="nil"/>
              <w:left w:val="single" w:sz="4" w:space="0" w:color="auto"/>
              <w:bottom w:val="single" w:sz="4" w:space="0" w:color="auto"/>
              <w:right w:val="single" w:sz="4" w:space="0" w:color="auto"/>
            </w:tcBorders>
            <w:vAlign w:val="center"/>
          </w:tcPr>
          <w:p w14:paraId="5BD722DE" w14:textId="700BF078"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w:t>
            </w:r>
            <w:r w:rsidR="008D74B6" w:rsidRPr="00AB6071">
              <w:rPr>
                <w:rFonts w:ascii="Arial" w:hAnsi="Arial" w:cs="Arial"/>
                <w:color w:val="000000"/>
                <w:sz w:val="20"/>
              </w:rPr>
              <w:t>D</w:t>
            </w:r>
            <w:r w:rsidRPr="00AB6071">
              <w:rPr>
                <w:rFonts w:ascii="Arial" w:hAnsi="Arial" w:cs="Arial"/>
                <w:color w:val="000000"/>
                <w:sz w:val="20"/>
              </w:rPr>
              <w:t xml:space="preserve"> </w:t>
            </w:r>
          </w:p>
        </w:tc>
        <w:tc>
          <w:tcPr>
            <w:tcW w:w="1276" w:type="dxa"/>
          </w:tcPr>
          <w:p w14:paraId="676181ED" w14:textId="4F3E99EE" w:rsidR="00513C9B" w:rsidRPr="00AB6071" w:rsidRDefault="008D74B6"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ZAR</w:t>
            </w:r>
          </w:p>
        </w:tc>
        <w:tc>
          <w:tcPr>
            <w:tcW w:w="3118" w:type="dxa"/>
            <w:vAlign w:val="center"/>
          </w:tcPr>
          <w:p w14:paraId="22C254CA" w14:textId="0DA4B1EE" w:rsidR="00513C9B" w:rsidRPr="00AB6071" w:rsidRDefault="00424751" w:rsidP="00AB6071">
            <w:pPr>
              <w:spacing w:line="288" w:lineRule="auto"/>
              <w:outlineLvl w:val="0"/>
              <w:rPr>
                <w:rFonts w:ascii="Arial" w:hAnsi="Arial" w:cs="Arial"/>
                <w:b/>
                <w:color w:val="000000" w:themeColor="text1"/>
                <w:sz w:val="20"/>
                <w:lang w:val="en-AU"/>
              </w:rPr>
            </w:pPr>
            <w:r w:rsidRPr="00AB6071">
              <w:rPr>
                <w:rFonts w:ascii="Arial" w:hAnsi="Arial" w:cs="Arial"/>
                <w:color w:val="000000"/>
                <w:sz w:val="20"/>
                <w:lang w:val="en-ZA" w:eastAsia="en-ZA"/>
              </w:rPr>
              <w:t>0.</w:t>
            </w:r>
            <w:r w:rsidR="008D74B6" w:rsidRPr="00AB6071">
              <w:rPr>
                <w:rFonts w:ascii="Arial" w:hAnsi="Arial" w:cs="Arial"/>
                <w:color w:val="000000"/>
                <w:sz w:val="20"/>
                <w:lang w:val="en-ZA" w:eastAsia="en-ZA"/>
              </w:rPr>
              <w:t>00</w:t>
            </w:r>
            <w:r w:rsidRPr="00AB6071">
              <w:rPr>
                <w:rFonts w:ascii="Arial" w:hAnsi="Arial" w:cs="Arial"/>
                <w:color w:val="000000"/>
                <w:sz w:val="20"/>
                <w:lang w:val="en-ZA" w:eastAsia="en-ZA"/>
              </w:rPr>
              <w:t>%</w:t>
            </w:r>
            <w:r w:rsidRPr="00AB6071">
              <w:rPr>
                <w:rFonts w:ascii="Arial" w:hAnsi="Arial" w:cs="Arial"/>
                <w:sz w:val="20"/>
              </w:rPr>
              <w:t xml:space="preserve"> of the </w:t>
            </w:r>
            <w:r w:rsidR="008D74B6" w:rsidRPr="00AB6071">
              <w:rPr>
                <w:rFonts w:ascii="Arial" w:hAnsi="Arial" w:cs="Arial"/>
                <w:sz w:val="20"/>
              </w:rPr>
              <w:t xml:space="preserve">Net Asset Value of </w:t>
            </w:r>
            <w:r w:rsidRPr="00AB6071">
              <w:rPr>
                <w:rFonts w:ascii="Arial" w:hAnsi="Arial" w:cs="Arial"/>
                <w:sz w:val="20"/>
              </w:rPr>
              <w:t xml:space="preserve"> </w:t>
            </w:r>
            <w:r w:rsidR="008D74B6" w:rsidRPr="00AB6071">
              <w:rPr>
                <w:rFonts w:ascii="Arial" w:hAnsi="Arial" w:cs="Arial"/>
                <w:sz w:val="20"/>
              </w:rPr>
              <w:t xml:space="preserve">Class D Shares </w:t>
            </w:r>
          </w:p>
        </w:tc>
      </w:tr>
      <w:tr w:rsidR="00513C9B" w:rsidRPr="00AB6071" w14:paraId="3F64EFEA" w14:textId="77777777" w:rsidTr="00B96169">
        <w:tc>
          <w:tcPr>
            <w:tcW w:w="1073" w:type="dxa"/>
            <w:tcBorders>
              <w:top w:val="nil"/>
              <w:left w:val="single" w:sz="4" w:space="0" w:color="auto"/>
              <w:bottom w:val="nil"/>
              <w:right w:val="single" w:sz="4" w:space="0" w:color="auto"/>
            </w:tcBorders>
            <w:vAlign w:val="center"/>
          </w:tcPr>
          <w:p w14:paraId="4BCCB797" w14:textId="43EEE30F"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sz w:val="20"/>
              </w:rPr>
              <w:t xml:space="preserve">Class </w:t>
            </w:r>
            <w:r w:rsidR="008D74B6" w:rsidRPr="00AB6071">
              <w:rPr>
                <w:rFonts w:ascii="Arial" w:hAnsi="Arial" w:cs="Arial"/>
                <w:color w:val="000000"/>
                <w:sz w:val="20"/>
              </w:rPr>
              <w:t>E</w:t>
            </w:r>
            <w:r w:rsidRPr="00AB6071">
              <w:rPr>
                <w:rFonts w:ascii="Arial" w:hAnsi="Arial" w:cs="Arial"/>
                <w:color w:val="000000"/>
                <w:sz w:val="20"/>
              </w:rPr>
              <w:t xml:space="preserve"> </w:t>
            </w:r>
          </w:p>
        </w:tc>
        <w:tc>
          <w:tcPr>
            <w:tcW w:w="1276" w:type="dxa"/>
          </w:tcPr>
          <w:p w14:paraId="07ABF83F" w14:textId="77777777" w:rsidR="00513C9B" w:rsidRPr="00AB6071" w:rsidRDefault="00424751" w:rsidP="00AB6071">
            <w:pPr>
              <w:spacing w:line="288" w:lineRule="auto"/>
              <w:outlineLvl w:val="0"/>
              <w:rPr>
                <w:rFonts w:ascii="Arial" w:hAnsi="Arial" w:cs="Arial"/>
                <w:color w:val="000000" w:themeColor="text1"/>
                <w:sz w:val="20"/>
              </w:rPr>
            </w:pPr>
            <w:r w:rsidRPr="00AB6071">
              <w:rPr>
                <w:rFonts w:ascii="Arial" w:hAnsi="Arial" w:cs="Arial"/>
                <w:color w:val="000000" w:themeColor="text1"/>
                <w:sz w:val="20"/>
              </w:rPr>
              <w:t>USD</w:t>
            </w:r>
          </w:p>
        </w:tc>
        <w:tc>
          <w:tcPr>
            <w:tcW w:w="3118" w:type="dxa"/>
            <w:vAlign w:val="center"/>
          </w:tcPr>
          <w:p w14:paraId="6B5F3AF0" w14:textId="3427F889" w:rsidR="00513C9B" w:rsidRPr="00AB6071" w:rsidRDefault="008D74B6" w:rsidP="00AB6071">
            <w:pPr>
              <w:spacing w:line="288" w:lineRule="auto"/>
              <w:outlineLvl w:val="0"/>
              <w:rPr>
                <w:rFonts w:ascii="Arial" w:hAnsi="Arial" w:cs="Arial"/>
                <w:color w:val="000000" w:themeColor="text1"/>
                <w:sz w:val="20"/>
              </w:rPr>
            </w:pPr>
            <w:r w:rsidRPr="00AB6071">
              <w:rPr>
                <w:rFonts w:ascii="Arial" w:hAnsi="Arial" w:cs="Arial"/>
                <w:color w:val="000000"/>
                <w:sz w:val="20"/>
                <w:lang w:val="en-ZA" w:eastAsia="en-ZA"/>
              </w:rPr>
              <w:t>0.50</w:t>
            </w:r>
            <w:r w:rsidR="00424751" w:rsidRPr="00AB6071">
              <w:rPr>
                <w:rFonts w:ascii="Arial" w:hAnsi="Arial" w:cs="Arial"/>
                <w:color w:val="000000"/>
                <w:sz w:val="20"/>
                <w:lang w:val="en-ZA" w:eastAsia="en-ZA"/>
              </w:rPr>
              <w:t>%</w:t>
            </w:r>
            <w:r w:rsidR="00424751" w:rsidRPr="00AB6071">
              <w:rPr>
                <w:rFonts w:ascii="Arial" w:hAnsi="Arial" w:cs="Arial"/>
                <w:sz w:val="20"/>
              </w:rPr>
              <w:t xml:space="preserve"> of the </w:t>
            </w:r>
            <w:r w:rsidRPr="00AB6071">
              <w:rPr>
                <w:rFonts w:ascii="Arial" w:hAnsi="Arial" w:cs="Arial"/>
                <w:sz w:val="20"/>
              </w:rPr>
              <w:t xml:space="preserve">Net Asset Value </w:t>
            </w:r>
            <w:r w:rsidR="00424751" w:rsidRPr="00AB6071">
              <w:rPr>
                <w:rFonts w:ascii="Arial" w:hAnsi="Arial" w:cs="Arial"/>
                <w:sz w:val="20"/>
              </w:rPr>
              <w:t xml:space="preserve">of </w:t>
            </w:r>
            <w:r w:rsidRPr="00AB6071">
              <w:rPr>
                <w:rFonts w:ascii="Arial" w:hAnsi="Arial" w:cs="Arial"/>
                <w:sz w:val="20"/>
              </w:rPr>
              <w:t xml:space="preserve">Class E Shares </w:t>
            </w:r>
          </w:p>
        </w:tc>
      </w:tr>
      <w:tr w:rsidR="00B96169" w:rsidRPr="00AB6071" w14:paraId="447C2E8C" w14:textId="77777777" w:rsidTr="00E11526">
        <w:tc>
          <w:tcPr>
            <w:tcW w:w="1073" w:type="dxa"/>
            <w:tcBorders>
              <w:top w:val="nil"/>
              <w:left w:val="single" w:sz="4" w:space="0" w:color="auto"/>
              <w:bottom w:val="single" w:sz="4" w:space="0" w:color="auto"/>
              <w:right w:val="single" w:sz="4" w:space="0" w:color="auto"/>
            </w:tcBorders>
          </w:tcPr>
          <w:p w14:paraId="50617B7F" w14:textId="63682A67" w:rsidR="00B96169" w:rsidRPr="00B96169" w:rsidRDefault="00B96169" w:rsidP="00B96169">
            <w:pPr>
              <w:spacing w:line="288" w:lineRule="auto"/>
              <w:outlineLvl w:val="0"/>
              <w:rPr>
                <w:rFonts w:ascii="Arial" w:hAnsi="Arial" w:cs="Arial"/>
                <w:color w:val="000000" w:themeColor="text1"/>
                <w:sz w:val="20"/>
              </w:rPr>
            </w:pPr>
            <w:r w:rsidRPr="00B96169">
              <w:rPr>
                <w:rFonts w:ascii="Arial" w:hAnsi="Arial" w:cs="Arial"/>
                <w:color w:val="000000" w:themeColor="text1"/>
                <w:sz w:val="20"/>
              </w:rPr>
              <w:t>Class F</w:t>
            </w:r>
          </w:p>
        </w:tc>
        <w:tc>
          <w:tcPr>
            <w:tcW w:w="1276" w:type="dxa"/>
          </w:tcPr>
          <w:p w14:paraId="46CB8510" w14:textId="2E2F8E1B" w:rsidR="00B96169" w:rsidRPr="00AB6071" w:rsidRDefault="00B96169" w:rsidP="00B96169">
            <w:pPr>
              <w:spacing w:line="288" w:lineRule="auto"/>
              <w:outlineLvl w:val="0"/>
              <w:rPr>
                <w:rFonts w:ascii="Arial" w:hAnsi="Arial" w:cs="Arial"/>
                <w:color w:val="000000" w:themeColor="text1"/>
                <w:sz w:val="20"/>
              </w:rPr>
            </w:pPr>
            <w:r w:rsidRPr="00B96169">
              <w:rPr>
                <w:rFonts w:ascii="Arial" w:hAnsi="Arial" w:cs="Arial"/>
                <w:color w:val="000000" w:themeColor="text1"/>
                <w:sz w:val="20"/>
              </w:rPr>
              <w:t>ZAR</w:t>
            </w:r>
          </w:p>
        </w:tc>
        <w:tc>
          <w:tcPr>
            <w:tcW w:w="3118" w:type="dxa"/>
          </w:tcPr>
          <w:p w14:paraId="08BC8D0F" w14:textId="64120540" w:rsidR="00B96169" w:rsidRPr="00B96169" w:rsidRDefault="00B96169" w:rsidP="00B96169">
            <w:pPr>
              <w:spacing w:line="288" w:lineRule="auto"/>
              <w:outlineLvl w:val="0"/>
              <w:rPr>
                <w:rFonts w:ascii="Arial" w:hAnsi="Arial" w:cs="Arial"/>
                <w:color w:val="000000" w:themeColor="text1"/>
                <w:sz w:val="20"/>
              </w:rPr>
            </w:pPr>
            <w:r w:rsidRPr="00B96169">
              <w:rPr>
                <w:rFonts w:ascii="Arial" w:hAnsi="Arial" w:cs="Arial"/>
                <w:color w:val="000000" w:themeColor="text1"/>
                <w:sz w:val="20"/>
              </w:rPr>
              <w:t>0.30% of the Net Asset Value attributable to Class</w:t>
            </w:r>
            <w:r>
              <w:rPr>
                <w:rFonts w:ascii="Arial" w:hAnsi="Arial" w:cs="Arial"/>
                <w:color w:val="000000" w:themeColor="text1"/>
                <w:sz w:val="20"/>
              </w:rPr>
              <w:t xml:space="preserve"> F</w:t>
            </w:r>
            <w:r w:rsidR="00D5535A">
              <w:rPr>
                <w:rFonts w:ascii="Arial" w:hAnsi="Arial" w:cs="Arial"/>
                <w:color w:val="000000" w:themeColor="text1"/>
                <w:sz w:val="20"/>
              </w:rPr>
              <w:t xml:space="preserve"> </w:t>
            </w:r>
            <w:r w:rsidRPr="00B96169">
              <w:rPr>
                <w:rFonts w:ascii="Arial" w:hAnsi="Arial" w:cs="Arial"/>
                <w:color w:val="000000" w:themeColor="text1"/>
                <w:sz w:val="20"/>
              </w:rPr>
              <w:t>Shares</w:t>
            </w:r>
          </w:p>
        </w:tc>
      </w:tr>
      <w:bookmarkEnd w:id="8"/>
    </w:tbl>
    <w:p w14:paraId="03AF681B" w14:textId="77777777" w:rsidR="00513C9B" w:rsidRPr="00AB6071" w:rsidRDefault="00513C9B" w:rsidP="00AB6071">
      <w:pPr>
        <w:spacing w:line="288" w:lineRule="auto"/>
        <w:ind w:left="3600"/>
        <w:rPr>
          <w:rFonts w:ascii="Arial" w:hAnsi="Arial" w:cs="Arial"/>
          <w:color w:val="000000" w:themeColor="text1"/>
          <w:sz w:val="20"/>
        </w:rPr>
      </w:pPr>
    </w:p>
    <w:p w14:paraId="7B39857C" w14:textId="77777777" w:rsidR="00513C9B" w:rsidRPr="00AB6071" w:rsidRDefault="00424751" w:rsidP="00AB6071">
      <w:pPr>
        <w:spacing w:line="288" w:lineRule="auto"/>
        <w:ind w:left="3600"/>
        <w:rPr>
          <w:rFonts w:ascii="Arial" w:hAnsi="Arial" w:cs="Arial"/>
          <w:color w:val="000000" w:themeColor="text1"/>
          <w:sz w:val="20"/>
        </w:rPr>
      </w:pPr>
      <w:r w:rsidRPr="00AB6071">
        <w:rPr>
          <w:rFonts w:ascii="Arial" w:hAnsi="Arial" w:cs="Arial"/>
          <w:color w:val="000000" w:themeColor="text1"/>
          <w:sz w:val="20"/>
        </w:rPr>
        <w:t>The Investment Manager shall also be entitled to be repaid out of the assets of the Fund all its reasonable out-of-pocket expenses properly incurred by it in the performance of its duties and responsibilities under the Investment Management and Distribution Agreement in respect of the Fund. As detailed above, the Investment Manager shall pay the fees and expenses of any sub-investment manager, any sub-distributor or investment advisor appointed by it out of its own fee.</w:t>
      </w:r>
    </w:p>
    <w:p w14:paraId="68C2D04B" w14:textId="77777777" w:rsidR="00513C9B" w:rsidRPr="00AB6071" w:rsidRDefault="00424751" w:rsidP="00AB6071">
      <w:pPr>
        <w:spacing w:line="288" w:lineRule="auto"/>
        <w:rPr>
          <w:rFonts w:ascii="Arial" w:hAnsi="Arial" w:cs="Arial"/>
          <w:sz w:val="20"/>
        </w:rPr>
      </w:pPr>
      <w:bookmarkStart w:id="9" w:name="_Hlk15632984"/>
      <w:r w:rsidRPr="00AB6071">
        <w:rPr>
          <w:rFonts w:ascii="Arial" w:hAnsi="Arial" w:cs="Arial"/>
          <w:sz w:val="20"/>
        </w:rPr>
        <w:t xml:space="preserve"> </w:t>
      </w:r>
    </w:p>
    <w:bookmarkEnd w:id="9"/>
    <w:p w14:paraId="10EA63C9" w14:textId="77777777" w:rsidR="00513C9B" w:rsidRPr="00AB6071" w:rsidRDefault="00424751" w:rsidP="00AB6071">
      <w:pPr>
        <w:spacing w:line="288" w:lineRule="auto"/>
        <w:ind w:left="3600" w:hanging="3600"/>
        <w:rPr>
          <w:rFonts w:ascii="Arial" w:hAnsi="Arial" w:cs="Arial"/>
          <w:color w:val="000000" w:themeColor="text1"/>
          <w:sz w:val="20"/>
        </w:rPr>
      </w:pPr>
      <w:r w:rsidRPr="00AB6071">
        <w:rPr>
          <w:rFonts w:ascii="Arial" w:hAnsi="Arial" w:cs="Arial"/>
          <w:b/>
          <w:color w:val="000000" w:themeColor="text1"/>
          <w:sz w:val="20"/>
        </w:rPr>
        <w:t>Depositary Fees:</w:t>
      </w:r>
      <w:r w:rsidRPr="00AB6071">
        <w:rPr>
          <w:rFonts w:ascii="Arial" w:hAnsi="Arial" w:cs="Arial"/>
          <w:color w:val="000000" w:themeColor="text1"/>
          <w:sz w:val="20"/>
        </w:rPr>
        <w:tab/>
        <w:t>The fees payable to the Depositary are set out in the section in the Prospectus headed “Fees and Expenses”.</w:t>
      </w:r>
    </w:p>
    <w:p w14:paraId="0B02D018" w14:textId="77777777" w:rsidR="00513C9B" w:rsidRPr="00AB6071" w:rsidRDefault="00513C9B" w:rsidP="00AB6071">
      <w:pPr>
        <w:spacing w:line="288" w:lineRule="auto"/>
        <w:rPr>
          <w:rFonts w:ascii="Arial" w:hAnsi="Arial" w:cs="Arial"/>
          <w:color w:val="000000" w:themeColor="text1"/>
          <w:sz w:val="20"/>
        </w:rPr>
      </w:pPr>
    </w:p>
    <w:p w14:paraId="1A71A4AF" w14:textId="77777777" w:rsidR="008D74B6" w:rsidRPr="00AB6071" w:rsidRDefault="008D74B6" w:rsidP="00AB6071">
      <w:pPr>
        <w:spacing w:line="288" w:lineRule="auto"/>
        <w:ind w:left="3600" w:hanging="3600"/>
        <w:rPr>
          <w:rFonts w:ascii="Arial" w:hAnsi="Arial" w:cs="Arial"/>
          <w:color w:val="000000" w:themeColor="text1"/>
          <w:sz w:val="20"/>
        </w:rPr>
      </w:pPr>
      <w:r w:rsidRPr="00AB6071">
        <w:rPr>
          <w:rFonts w:ascii="Arial" w:hAnsi="Arial" w:cs="Arial"/>
          <w:b/>
          <w:color w:val="000000" w:themeColor="text1"/>
          <w:sz w:val="20"/>
        </w:rPr>
        <w:t>Risk Factors:</w:t>
      </w:r>
      <w:r w:rsidRPr="00AB6071">
        <w:rPr>
          <w:rFonts w:ascii="Arial" w:hAnsi="Arial" w:cs="Arial"/>
          <w:color w:val="000000" w:themeColor="text1"/>
          <w:sz w:val="20"/>
        </w:rPr>
        <w:tab/>
        <w:t>The attention of investors is drawn to the section headed “Risk Factors” in the Prospectus.</w:t>
      </w:r>
    </w:p>
    <w:p w14:paraId="29BBC502" w14:textId="071FC290" w:rsidR="005E4EC9" w:rsidRPr="00AB6071" w:rsidRDefault="008D74B6" w:rsidP="00AB6071">
      <w:pPr>
        <w:tabs>
          <w:tab w:val="left" w:pos="3544"/>
        </w:tabs>
        <w:autoSpaceDE w:val="0"/>
        <w:autoSpaceDN w:val="0"/>
        <w:adjustRightInd w:val="0"/>
        <w:spacing w:line="288" w:lineRule="auto"/>
        <w:rPr>
          <w:rFonts w:ascii="Arial" w:hAnsi="Arial" w:cs="Arial"/>
          <w:sz w:val="20"/>
        </w:rPr>
      </w:pPr>
      <w:r w:rsidRPr="00AB6071">
        <w:rPr>
          <w:rFonts w:ascii="Arial" w:hAnsi="Arial" w:cs="Arial"/>
          <w:color w:val="000000" w:themeColor="text1"/>
          <w:sz w:val="20"/>
        </w:rPr>
        <w:tab/>
      </w:r>
      <w:r w:rsidRPr="00AB6071">
        <w:rPr>
          <w:rFonts w:ascii="Arial" w:hAnsi="Arial" w:cs="Arial"/>
          <w:color w:val="000000" w:themeColor="text1"/>
          <w:sz w:val="20"/>
        </w:rPr>
        <w:tab/>
      </w:r>
    </w:p>
    <w:p w14:paraId="5806F874" w14:textId="77777777" w:rsidR="005E4EC9" w:rsidRPr="00AB6071" w:rsidRDefault="005E4EC9" w:rsidP="00AB6071">
      <w:pPr>
        <w:spacing w:line="288" w:lineRule="auto"/>
        <w:ind w:left="3600"/>
        <w:rPr>
          <w:rFonts w:ascii="Arial" w:hAnsi="Arial" w:cs="Arial"/>
          <w:b/>
          <w:sz w:val="20"/>
        </w:rPr>
      </w:pPr>
      <w:r w:rsidRPr="00AB6071">
        <w:rPr>
          <w:rFonts w:ascii="Arial" w:hAnsi="Arial" w:cs="Arial"/>
          <w:b/>
          <w:sz w:val="20"/>
        </w:rPr>
        <w:t>Investing in Other Collective Investment Schemes</w:t>
      </w:r>
    </w:p>
    <w:p w14:paraId="1E766CDC" w14:textId="77777777" w:rsidR="005E4EC9" w:rsidRPr="00AB6071" w:rsidRDefault="005E4EC9" w:rsidP="00AB6071">
      <w:pPr>
        <w:spacing w:line="288" w:lineRule="auto"/>
        <w:ind w:left="3600"/>
        <w:rPr>
          <w:rFonts w:ascii="Arial" w:hAnsi="Arial" w:cs="Arial"/>
          <w:b/>
          <w:sz w:val="20"/>
        </w:rPr>
      </w:pPr>
    </w:p>
    <w:p w14:paraId="403AEAEB" w14:textId="3F992D7B" w:rsidR="005E4EC9" w:rsidRPr="00AB6071" w:rsidRDefault="005E4EC9" w:rsidP="00AB6071">
      <w:pPr>
        <w:spacing w:line="288" w:lineRule="auto"/>
        <w:ind w:left="3600"/>
        <w:rPr>
          <w:rFonts w:ascii="Arial" w:hAnsi="Arial" w:cs="Arial"/>
          <w:sz w:val="20"/>
        </w:rPr>
      </w:pPr>
      <w:r w:rsidRPr="00AB6071">
        <w:rPr>
          <w:rFonts w:ascii="Arial" w:hAnsi="Arial" w:cs="Arial"/>
          <w:sz w:val="20"/>
        </w:rPr>
        <w:t>Investors should note that the Fund may invest in other Regulated Funds (</w:t>
      </w:r>
      <w:r w:rsidRPr="00AB6071">
        <w:rPr>
          <w:rFonts w:ascii="Arial" w:hAnsi="Arial" w:cs="Arial"/>
          <w:sz w:val="20"/>
          <w:lang w:val="en-US" w:eastAsia="en-GB"/>
        </w:rPr>
        <w:t>as outlined further in the Section of this Supplement entitled “Investment Objective and Policy” below)</w:t>
      </w:r>
      <w:r w:rsidRPr="00AB6071">
        <w:rPr>
          <w:rFonts w:ascii="Arial" w:hAnsi="Arial" w:cs="Arial"/>
          <w:sz w:val="20"/>
        </w:rPr>
        <w:t xml:space="preserve">. </w:t>
      </w:r>
      <w:r w:rsidRPr="00AB6071">
        <w:rPr>
          <w:rFonts w:ascii="Arial" w:hAnsi="Arial" w:cs="Arial"/>
          <w:sz w:val="20"/>
        </w:rPr>
        <w:lastRenderedPageBreak/>
        <w:t xml:space="preserve">As a result, the Fund and indirectly an investor in the Fund may bear subscription and redemption fees, multiple investment management fees that, in aggregate, may exceed the fees that would typically be incurred by an investment with a single fund. </w:t>
      </w:r>
    </w:p>
    <w:p w14:paraId="2F531FA6" w14:textId="77777777" w:rsidR="005E4EC9" w:rsidRPr="00AB6071" w:rsidRDefault="005E4EC9" w:rsidP="00AB6071">
      <w:pPr>
        <w:spacing w:line="288" w:lineRule="auto"/>
        <w:ind w:left="3600"/>
        <w:rPr>
          <w:rFonts w:ascii="Arial" w:hAnsi="Arial" w:cs="Arial"/>
          <w:sz w:val="20"/>
        </w:rPr>
      </w:pPr>
    </w:p>
    <w:p w14:paraId="22F1FAD3" w14:textId="6F199215" w:rsidR="005E4EC9" w:rsidRPr="00AB6071" w:rsidRDefault="005E4EC9" w:rsidP="00AB6071">
      <w:pPr>
        <w:spacing w:line="288" w:lineRule="auto"/>
        <w:ind w:left="3600"/>
        <w:rPr>
          <w:rFonts w:ascii="Arial" w:hAnsi="Arial" w:cs="Arial"/>
          <w:sz w:val="20"/>
        </w:rPr>
      </w:pPr>
      <w:r w:rsidRPr="00AB6071">
        <w:rPr>
          <w:rFonts w:ascii="Arial" w:hAnsi="Arial" w:cs="Arial"/>
          <w:sz w:val="20"/>
        </w:rPr>
        <w:t>The maximum weighted average level of management fees of the underlying Regulated Funds into which the</w:t>
      </w:r>
      <w:r w:rsidR="00A27BB0" w:rsidRPr="00AB6071">
        <w:rPr>
          <w:rFonts w:ascii="Arial" w:hAnsi="Arial" w:cs="Arial"/>
          <w:sz w:val="20"/>
        </w:rPr>
        <w:t xml:space="preserve"> Fund will be invested will be 100 basis points.</w:t>
      </w:r>
    </w:p>
    <w:p w14:paraId="38302A20" w14:textId="77777777" w:rsidR="005E4EC9" w:rsidRPr="00AB6071" w:rsidRDefault="005E4EC9" w:rsidP="00AB6071">
      <w:pPr>
        <w:spacing w:line="288" w:lineRule="auto"/>
        <w:ind w:left="3600"/>
        <w:rPr>
          <w:rFonts w:ascii="Arial" w:hAnsi="Arial" w:cs="Arial"/>
          <w:sz w:val="20"/>
        </w:rPr>
      </w:pPr>
    </w:p>
    <w:p w14:paraId="7107D246" w14:textId="7B93DD9D" w:rsidR="00E101CC" w:rsidRDefault="005E4EC9" w:rsidP="00944861">
      <w:pPr>
        <w:spacing w:line="288" w:lineRule="auto"/>
        <w:ind w:left="3600"/>
        <w:rPr>
          <w:rFonts w:ascii="Arial" w:hAnsi="Arial" w:cs="Arial"/>
          <w:sz w:val="20"/>
        </w:rPr>
      </w:pPr>
      <w:r w:rsidRPr="00AB6071">
        <w:rPr>
          <w:rFonts w:ascii="Arial" w:hAnsi="Arial" w:cs="Arial"/>
          <w:sz w:val="20"/>
        </w:rPr>
        <w:t>The underlying Regulated Funds may also charge a performance fee based on the percentage of the increase in the value of the assets of the underlying Regulated Fund. Such performance percentage</w:t>
      </w:r>
      <w:r w:rsidR="00A27BB0" w:rsidRPr="00AB6071">
        <w:rPr>
          <w:rFonts w:ascii="Arial" w:hAnsi="Arial" w:cs="Arial"/>
          <w:sz w:val="20"/>
        </w:rPr>
        <w:t>s typically range from between 10% and 20%</w:t>
      </w:r>
      <w:r w:rsidRPr="00AB6071">
        <w:rPr>
          <w:rFonts w:ascii="Arial" w:hAnsi="Arial" w:cs="Arial"/>
          <w:sz w:val="20"/>
        </w:rPr>
        <w:t xml:space="preserve"> of the increase in the value of the assets of the underlying Regulated Fund.  </w:t>
      </w:r>
    </w:p>
    <w:p w14:paraId="79D07F27" w14:textId="77777777" w:rsidR="00E528FD" w:rsidRDefault="00E528FD" w:rsidP="00AB6071">
      <w:pPr>
        <w:spacing w:line="288" w:lineRule="auto"/>
        <w:ind w:left="3600"/>
        <w:rPr>
          <w:rFonts w:ascii="Arial" w:hAnsi="Arial" w:cs="Arial"/>
          <w:b/>
          <w:sz w:val="20"/>
        </w:rPr>
      </w:pPr>
    </w:p>
    <w:p w14:paraId="4DA2AA76" w14:textId="55DF7D23" w:rsidR="008D74B6" w:rsidRPr="00AB6071" w:rsidRDefault="008D74B6" w:rsidP="00AB6071">
      <w:pPr>
        <w:spacing w:line="288" w:lineRule="auto"/>
        <w:ind w:left="3600"/>
        <w:rPr>
          <w:rFonts w:ascii="Arial" w:hAnsi="Arial" w:cs="Arial"/>
          <w:b/>
          <w:sz w:val="20"/>
        </w:rPr>
      </w:pPr>
      <w:r w:rsidRPr="00AB6071">
        <w:rPr>
          <w:rFonts w:ascii="Arial" w:hAnsi="Arial" w:cs="Arial"/>
          <w:b/>
          <w:sz w:val="20"/>
        </w:rPr>
        <w:t>Cross Investment Risk</w:t>
      </w:r>
    </w:p>
    <w:p w14:paraId="74724F46" w14:textId="77777777" w:rsidR="008D74B6" w:rsidRPr="00AB6071" w:rsidRDefault="008D74B6" w:rsidP="00AB6071">
      <w:pPr>
        <w:spacing w:line="288" w:lineRule="auto"/>
        <w:ind w:left="3600"/>
        <w:rPr>
          <w:rFonts w:ascii="Arial" w:hAnsi="Arial" w:cs="Arial"/>
          <w:sz w:val="20"/>
        </w:rPr>
      </w:pPr>
    </w:p>
    <w:p w14:paraId="60583700" w14:textId="77777777" w:rsidR="008D74B6" w:rsidRPr="00AB6071" w:rsidRDefault="008D74B6" w:rsidP="00AB6071">
      <w:pPr>
        <w:spacing w:line="288" w:lineRule="auto"/>
        <w:ind w:left="3600"/>
        <w:rPr>
          <w:rFonts w:ascii="Arial" w:hAnsi="Arial" w:cs="Arial"/>
          <w:sz w:val="20"/>
        </w:rPr>
      </w:pPr>
      <w:r w:rsidRPr="00AB6071">
        <w:rPr>
          <w:rFonts w:ascii="Arial" w:hAnsi="Arial" w:cs="Arial"/>
          <w:sz w:val="20"/>
        </w:rPr>
        <w:t>The Fund may invest in the other sub-funds of the ICAV in accordance with the requirements of the Central Bank. In such circumstances, the following requirements shall be satisfied: (i) the Fund may only invest in another sub-fund of the ICAV</w:t>
      </w:r>
      <w:r w:rsidRPr="00AB6071" w:rsidDel="00D675AB">
        <w:rPr>
          <w:rFonts w:ascii="Arial" w:hAnsi="Arial" w:cs="Arial"/>
          <w:sz w:val="20"/>
        </w:rPr>
        <w:t xml:space="preserve"> </w:t>
      </w:r>
      <w:r w:rsidRPr="00AB6071">
        <w:rPr>
          <w:rFonts w:ascii="Arial" w:hAnsi="Arial" w:cs="Arial"/>
          <w:sz w:val="20"/>
        </w:rPr>
        <w:t xml:space="preserve">which itself does not hold Shares in any other fund of the ICAV; and (ii) the management fee charged by the Manager (or the Investment Manager where the investment management fee is discharged directly out of the Fund’s assets) in respect of the portion of assets of the Fund which is invested in other sub-funds of the ICAV, whether such management fee is paid by the Fund, indirectly at the level of the receiving sub-fund or a combination of both, shall not exceed the rate of the management fee which is charged by the Manager in respect of the balance of the assets of the Fund. </w:t>
      </w:r>
    </w:p>
    <w:p w14:paraId="3342DD88" w14:textId="77777777" w:rsidR="008D74B6" w:rsidRPr="00AB6071" w:rsidRDefault="008D74B6" w:rsidP="00AB6071">
      <w:pPr>
        <w:spacing w:line="288" w:lineRule="auto"/>
        <w:ind w:left="3600"/>
        <w:rPr>
          <w:rFonts w:ascii="Arial" w:hAnsi="Arial" w:cs="Arial"/>
          <w:sz w:val="20"/>
        </w:rPr>
      </w:pPr>
    </w:p>
    <w:p w14:paraId="27397EC7" w14:textId="77777777" w:rsidR="008D74B6" w:rsidRPr="00AB6071" w:rsidRDefault="008D74B6" w:rsidP="00AB6071">
      <w:pPr>
        <w:spacing w:line="288" w:lineRule="auto"/>
        <w:ind w:left="3600"/>
        <w:rPr>
          <w:rFonts w:ascii="Arial" w:hAnsi="Arial" w:cs="Arial"/>
          <w:sz w:val="20"/>
        </w:rPr>
      </w:pPr>
      <w:r w:rsidRPr="00AB6071">
        <w:rPr>
          <w:rFonts w:ascii="Arial" w:hAnsi="Arial" w:cs="Arial"/>
          <w:sz w:val="20"/>
        </w:rPr>
        <w:t>Investors’ attention is also drawn to the sections in the Prospectus headed “Cross-Investment”.</w:t>
      </w:r>
    </w:p>
    <w:p w14:paraId="27629329" w14:textId="77777777" w:rsidR="008D74B6" w:rsidRPr="00AB6071" w:rsidRDefault="008D74B6" w:rsidP="00AB6071">
      <w:pPr>
        <w:spacing w:line="288" w:lineRule="auto"/>
        <w:ind w:left="3600"/>
        <w:rPr>
          <w:rFonts w:ascii="Arial" w:hAnsi="Arial" w:cs="Arial"/>
          <w:sz w:val="20"/>
        </w:rPr>
      </w:pPr>
    </w:p>
    <w:p w14:paraId="0BB45733" w14:textId="59C8C46C" w:rsidR="008D74B6" w:rsidRPr="00AB6071" w:rsidRDefault="00E422AE" w:rsidP="00AB6071">
      <w:pPr>
        <w:spacing w:line="288" w:lineRule="auto"/>
        <w:ind w:left="3600"/>
        <w:rPr>
          <w:rFonts w:ascii="Arial" w:hAnsi="Arial" w:cs="Arial"/>
          <w:b/>
          <w:sz w:val="20"/>
        </w:rPr>
      </w:pPr>
      <w:r w:rsidRPr="00AB6071">
        <w:rPr>
          <w:rFonts w:ascii="Arial" w:hAnsi="Arial" w:cs="Arial"/>
          <w:b/>
          <w:sz w:val="20"/>
        </w:rPr>
        <w:t>Liquidity Risk</w:t>
      </w:r>
    </w:p>
    <w:p w14:paraId="2082080F" w14:textId="77777777" w:rsidR="008D74B6" w:rsidRPr="00AB6071" w:rsidRDefault="008D74B6" w:rsidP="00AB6071">
      <w:pPr>
        <w:spacing w:line="288" w:lineRule="auto"/>
        <w:ind w:left="3600"/>
        <w:rPr>
          <w:rFonts w:ascii="Arial" w:hAnsi="Arial" w:cs="Arial"/>
          <w:sz w:val="20"/>
        </w:rPr>
      </w:pPr>
    </w:p>
    <w:p w14:paraId="2A4D50F0" w14:textId="0BDED5C7" w:rsidR="008D74B6" w:rsidRPr="00AB6071" w:rsidRDefault="008D74B6" w:rsidP="00AB6071">
      <w:pPr>
        <w:spacing w:line="288" w:lineRule="auto"/>
        <w:ind w:left="3600"/>
        <w:rPr>
          <w:rFonts w:ascii="Arial" w:hAnsi="Arial" w:cs="Arial"/>
          <w:sz w:val="20"/>
        </w:rPr>
      </w:pPr>
      <w:r w:rsidRPr="00AB6071">
        <w:rPr>
          <w:rFonts w:ascii="Arial" w:hAnsi="Arial" w:cs="Arial"/>
          <w:sz w:val="20"/>
        </w:rPr>
        <w:t xml:space="preserve">The Fund may invest in securities, including </w:t>
      </w:r>
      <w:r w:rsidR="00FA6516" w:rsidRPr="00AB6071">
        <w:rPr>
          <w:rFonts w:ascii="Arial" w:hAnsi="Arial" w:cs="Arial"/>
          <w:sz w:val="20"/>
        </w:rPr>
        <w:t xml:space="preserve">securities </w:t>
      </w:r>
      <w:r w:rsidRPr="00AB6071">
        <w:rPr>
          <w:rFonts w:ascii="Arial" w:hAnsi="Arial" w:cs="Arial"/>
          <w:sz w:val="20"/>
        </w:rPr>
        <w:t>which are unlisted which may result in a lower liquidity for the Fund. Liquidity risk may also come from the lack of marketability of an investment during adverse market conditions, where the investment may not be bought or sold quickly enough to prevent or minimise losses. Further, some assets</w:t>
      </w:r>
      <w:r w:rsidR="006751DB">
        <w:rPr>
          <w:rFonts w:ascii="Arial" w:hAnsi="Arial" w:cs="Arial"/>
          <w:sz w:val="20"/>
        </w:rPr>
        <w:t xml:space="preserve"> </w:t>
      </w:r>
      <w:r w:rsidRPr="00AB6071">
        <w:rPr>
          <w:rFonts w:ascii="Arial" w:hAnsi="Arial" w:cs="Arial"/>
          <w:sz w:val="20"/>
        </w:rPr>
        <w:t>may be more difficult and time consuming to dispose of and therefore, the Investment Manager may have to sell the asset at an unfavourable price.</w:t>
      </w:r>
    </w:p>
    <w:p w14:paraId="0EE100C0" w14:textId="77777777" w:rsidR="006E4DDC" w:rsidRDefault="006E4DDC" w:rsidP="00AB6071">
      <w:pPr>
        <w:spacing w:line="288" w:lineRule="auto"/>
        <w:ind w:left="3600"/>
        <w:rPr>
          <w:rFonts w:ascii="Arial" w:hAnsi="Arial"/>
          <w:color w:val="000000" w:themeColor="text1"/>
          <w:sz w:val="20"/>
        </w:rPr>
      </w:pPr>
    </w:p>
    <w:p w14:paraId="461ED0FD" w14:textId="77777777" w:rsidR="003F461C" w:rsidRPr="00D90B79" w:rsidRDefault="003F461C" w:rsidP="00AB6071">
      <w:pPr>
        <w:spacing w:line="288" w:lineRule="auto"/>
        <w:ind w:left="3600"/>
        <w:rPr>
          <w:rFonts w:ascii="Arial" w:hAnsi="Arial"/>
          <w:color w:val="000000" w:themeColor="text1"/>
          <w:sz w:val="20"/>
        </w:rPr>
      </w:pPr>
    </w:p>
    <w:p w14:paraId="5AEA0327" w14:textId="77777777" w:rsidR="00881A0A" w:rsidRPr="00797C14" w:rsidRDefault="00881A0A" w:rsidP="00881A0A">
      <w:pPr>
        <w:spacing w:line="312" w:lineRule="auto"/>
        <w:ind w:left="3402" w:firstLine="198"/>
        <w:rPr>
          <w:rFonts w:ascii="Arial" w:hAnsi="Arial" w:cs="Arial"/>
          <w:b/>
          <w:sz w:val="20"/>
        </w:rPr>
      </w:pPr>
      <w:r>
        <w:rPr>
          <w:rFonts w:ascii="Arial" w:hAnsi="Arial" w:cs="Arial"/>
          <w:b/>
          <w:sz w:val="20"/>
        </w:rPr>
        <w:lastRenderedPageBreak/>
        <w:t>Sustainability Risk</w:t>
      </w:r>
    </w:p>
    <w:p w14:paraId="5E87D60B" w14:textId="77777777" w:rsidR="00881A0A" w:rsidRPr="00797C14" w:rsidRDefault="00881A0A" w:rsidP="00881A0A">
      <w:pPr>
        <w:spacing w:line="312" w:lineRule="auto"/>
        <w:ind w:left="3402"/>
        <w:rPr>
          <w:rFonts w:ascii="Arial" w:hAnsi="Arial" w:cs="Arial"/>
          <w:b/>
          <w:sz w:val="20"/>
        </w:rPr>
      </w:pPr>
    </w:p>
    <w:p w14:paraId="1C2B4CE6" w14:textId="77777777" w:rsidR="00881A0A" w:rsidRPr="00797C14" w:rsidRDefault="00881A0A" w:rsidP="00881A0A">
      <w:pPr>
        <w:spacing w:line="312" w:lineRule="auto"/>
        <w:ind w:left="3600"/>
        <w:rPr>
          <w:rFonts w:ascii="Arial" w:hAnsi="Arial" w:cs="Arial"/>
          <w:sz w:val="20"/>
          <w:lang w:val="en-IE"/>
        </w:rPr>
      </w:pPr>
      <w:r w:rsidRPr="00797C14">
        <w:rPr>
          <w:rFonts w:ascii="Arial" w:hAnsi="Arial" w:cs="Arial"/>
          <w:sz w:val="20"/>
          <w:lang w:val="en-IE"/>
        </w:rPr>
        <w:t>Under Regulation (EU) 2019/2088 on sustainability-related disclosures in the financial service sector (“</w:t>
      </w:r>
      <w:r w:rsidRPr="00797C14">
        <w:rPr>
          <w:rFonts w:ascii="Arial" w:hAnsi="Arial" w:cs="Arial"/>
          <w:b/>
          <w:sz w:val="20"/>
          <w:lang w:val="en-IE"/>
        </w:rPr>
        <w:t>SFDR</w:t>
      </w:r>
      <w:r w:rsidRPr="00797C14">
        <w:rPr>
          <w:rFonts w:ascii="Arial" w:hAnsi="Arial" w:cs="Arial"/>
          <w:sz w:val="20"/>
          <w:lang w:val="en-IE"/>
        </w:rPr>
        <w:t>”), the Manager is not under any obligation to nor does it currently promote environmental or social characteristics or have sustainable investment as an investment objective. As a result, the Fund is considered to be a non-ESG fund.</w:t>
      </w:r>
    </w:p>
    <w:p w14:paraId="4431D26B" w14:textId="77777777" w:rsidR="00881A0A" w:rsidRPr="00797C14" w:rsidRDefault="00881A0A" w:rsidP="00881A0A">
      <w:pPr>
        <w:spacing w:line="312" w:lineRule="auto"/>
        <w:ind w:left="3402"/>
        <w:rPr>
          <w:rFonts w:ascii="Arial" w:hAnsi="Arial" w:cs="Arial"/>
          <w:sz w:val="20"/>
          <w:lang w:val="en-IE"/>
        </w:rPr>
      </w:pPr>
    </w:p>
    <w:p w14:paraId="46623BEC" w14:textId="77777777" w:rsidR="00881A0A" w:rsidRPr="00797C14" w:rsidRDefault="00881A0A" w:rsidP="00881A0A">
      <w:pPr>
        <w:spacing w:line="312" w:lineRule="auto"/>
        <w:ind w:left="3600"/>
        <w:rPr>
          <w:rFonts w:ascii="Arial" w:hAnsi="Arial" w:cs="Arial"/>
          <w:sz w:val="20"/>
          <w:lang w:val="en-IE"/>
        </w:rPr>
      </w:pPr>
      <w:r w:rsidRPr="00797C14">
        <w:rPr>
          <w:rFonts w:ascii="Arial" w:hAnsi="Arial" w:cs="Arial"/>
          <w:sz w:val="20"/>
          <w:lang w:val="en-IE"/>
        </w:rPr>
        <w:t>Further, the Manager in conjunction with the Investment Manager has determined that sustainability risk (which is defined as an environmental, social or governance event or condition that, if it occurs, could cause an actual or a potential material negative impact on the value of the relevant investment (an “</w:t>
      </w:r>
      <w:r w:rsidRPr="00797C14">
        <w:rPr>
          <w:rFonts w:ascii="Arial" w:hAnsi="Arial" w:cs="Arial"/>
          <w:b/>
          <w:bCs/>
          <w:sz w:val="20"/>
          <w:lang w:val="en-IE"/>
        </w:rPr>
        <w:t>ESG Event</w:t>
      </w:r>
      <w:r w:rsidRPr="00797C14">
        <w:rPr>
          <w:rFonts w:ascii="Arial" w:hAnsi="Arial" w:cs="Arial"/>
          <w:sz w:val="20"/>
          <w:lang w:val="en-IE"/>
        </w:rPr>
        <w:t xml:space="preserve">”)) is not relevant for the Fund due to the profile of the underlying investments of the </w:t>
      </w:r>
      <w:r>
        <w:rPr>
          <w:rFonts w:ascii="Arial" w:hAnsi="Arial" w:cs="Arial"/>
          <w:sz w:val="20"/>
          <w:lang w:val="en-IE"/>
        </w:rPr>
        <w:t>Fund</w:t>
      </w:r>
      <w:r w:rsidRPr="00797C14">
        <w:rPr>
          <w:rFonts w:ascii="Arial" w:hAnsi="Arial" w:cs="Arial"/>
          <w:sz w:val="20"/>
          <w:lang w:val="en-IE"/>
        </w:rPr>
        <w:t xml:space="preserve"> and their broad diversification.</w:t>
      </w:r>
    </w:p>
    <w:p w14:paraId="41A19989" w14:textId="77777777" w:rsidR="00881A0A" w:rsidRPr="00797C14" w:rsidRDefault="00881A0A" w:rsidP="00881A0A">
      <w:pPr>
        <w:spacing w:line="312" w:lineRule="auto"/>
        <w:ind w:left="3402"/>
        <w:rPr>
          <w:rFonts w:ascii="Arial" w:hAnsi="Arial" w:cs="Arial"/>
          <w:b/>
          <w:sz w:val="20"/>
        </w:rPr>
      </w:pPr>
    </w:p>
    <w:p w14:paraId="6F8BFD93" w14:textId="77777777" w:rsidR="00881A0A" w:rsidRDefault="00881A0A" w:rsidP="00881A0A">
      <w:pPr>
        <w:spacing w:line="312" w:lineRule="auto"/>
        <w:ind w:left="3600"/>
        <w:rPr>
          <w:rFonts w:ascii="Arial" w:hAnsi="Arial" w:cs="Arial"/>
          <w:b/>
          <w:sz w:val="20"/>
        </w:rPr>
      </w:pPr>
      <w:r w:rsidRPr="00797C14">
        <w:rPr>
          <w:rFonts w:ascii="Arial" w:hAnsi="Arial" w:cs="Arial"/>
          <w:b/>
          <w:sz w:val="20"/>
        </w:rPr>
        <w:t>Taxonomy Regulation:</w:t>
      </w:r>
      <w:r w:rsidRPr="00797C14">
        <w:rPr>
          <w:rFonts w:ascii="Arial" w:hAnsi="Arial" w:cs="Arial"/>
          <w:b/>
          <w:sz w:val="20"/>
        </w:rPr>
        <w:tab/>
      </w:r>
    </w:p>
    <w:p w14:paraId="688BE450" w14:textId="77777777" w:rsidR="00881A0A" w:rsidRDefault="00881A0A" w:rsidP="00881A0A">
      <w:pPr>
        <w:spacing w:line="312" w:lineRule="auto"/>
        <w:ind w:left="3600" w:hanging="3600"/>
        <w:rPr>
          <w:rFonts w:ascii="Arial" w:hAnsi="Arial" w:cs="Arial"/>
          <w:b/>
          <w:sz w:val="20"/>
        </w:rPr>
      </w:pPr>
    </w:p>
    <w:p w14:paraId="59C2D143" w14:textId="77777777" w:rsidR="00881A0A" w:rsidRPr="00797C14" w:rsidRDefault="00881A0A" w:rsidP="00881A0A">
      <w:pPr>
        <w:spacing w:line="312" w:lineRule="auto"/>
        <w:ind w:left="3600"/>
        <w:rPr>
          <w:rFonts w:ascii="Arial" w:hAnsi="Arial" w:cs="Arial"/>
          <w:sz w:val="20"/>
          <w:lang w:val="en-ZA"/>
        </w:rPr>
      </w:pPr>
      <w:r w:rsidRPr="00797C14">
        <w:rPr>
          <w:rFonts w:ascii="Arial" w:hAnsi="Arial" w:cs="Arial"/>
          <w:sz w:val="20"/>
          <w:lang w:val="en-ZA"/>
        </w:rPr>
        <w:t>The Fund does not have as its objective sustainable investment, nor does it promote environmental or social characteristics. As a result, the Fund does not fall within the scope of Regulation (EU) 2020/852 of the European Parliament and of the Council on the establishment of a framework to facilitate sustainable investment.</w:t>
      </w:r>
      <w:r>
        <w:rPr>
          <w:rFonts w:ascii="Arial" w:hAnsi="Arial" w:cs="Arial"/>
          <w:sz w:val="20"/>
          <w:lang w:val="en-ZA"/>
        </w:rPr>
        <w:t xml:space="preserve"> </w:t>
      </w:r>
      <w:r w:rsidRPr="003075CB">
        <w:rPr>
          <w:rFonts w:ascii="Arial" w:hAnsi="Arial" w:cs="Arial"/>
          <w:color w:val="000000" w:themeColor="text1"/>
          <w:sz w:val="20"/>
        </w:rPr>
        <w:t>The investments underlying this fund do not take into account the EU criteria for environmentally sustainable economic activities.</w:t>
      </w:r>
    </w:p>
    <w:p w14:paraId="7326CB98" w14:textId="2FD1E330" w:rsidR="008D74B6" w:rsidRPr="00AB6071" w:rsidRDefault="008D74B6" w:rsidP="00AB6071">
      <w:pPr>
        <w:spacing w:line="288" w:lineRule="auto"/>
        <w:ind w:left="3600" w:hanging="3600"/>
        <w:rPr>
          <w:rFonts w:ascii="Arial" w:hAnsi="Arial" w:cs="Arial"/>
          <w:color w:val="000000" w:themeColor="text1"/>
          <w:sz w:val="20"/>
        </w:rPr>
      </w:pPr>
      <w:r w:rsidRPr="00AB6071">
        <w:rPr>
          <w:rFonts w:ascii="Arial" w:hAnsi="Arial" w:cs="Arial"/>
          <w:b/>
          <w:color w:val="000000" w:themeColor="text1"/>
          <w:sz w:val="20"/>
        </w:rPr>
        <w:t>Profile of a Typical Investor:</w:t>
      </w:r>
      <w:r w:rsidRPr="00AB6071">
        <w:rPr>
          <w:rFonts w:ascii="Arial" w:hAnsi="Arial" w:cs="Arial"/>
          <w:color w:val="000000" w:themeColor="text1"/>
          <w:sz w:val="20"/>
        </w:rPr>
        <w:tab/>
        <w:t>The Fund is suitable for investors that seek long term capital</w:t>
      </w:r>
    </w:p>
    <w:p w14:paraId="325D8034" w14:textId="2D25C35F" w:rsidR="008D74B6" w:rsidRDefault="008D74B6" w:rsidP="00AB6071">
      <w:pPr>
        <w:spacing w:line="288" w:lineRule="auto"/>
        <w:ind w:left="3600"/>
        <w:rPr>
          <w:rFonts w:ascii="Arial" w:hAnsi="Arial" w:cs="Arial"/>
          <w:color w:val="000000" w:themeColor="text1"/>
          <w:sz w:val="20"/>
        </w:rPr>
      </w:pPr>
      <w:r w:rsidRPr="00AB6071">
        <w:rPr>
          <w:rFonts w:ascii="Arial" w:hAnsi="Arial" w:cs="Arial"/>
          <w:color w:val="000000" w:themeColor="text1"/>
          <w:sz w:val="20"/>
        </w:rPr>
        <w:t xml:space="preserve">growth and </w:t>
      </w:r>
      <w:r w:rsidR="00097C31" w:rsidRPr="00AB6071">
        <w:rPr>
          <w:rFonts w:ascii="Arial" w:hAnsi="Arial" w:cs="Arial"/>
          <w:color w:val="000000" w:themeColor="text1"/>
          <w:sz w:val="20"/>
        </w:rPr>
        <w:t>can accept the volatil</w:t>
      </w:r>
      <w:r w:rsidR="006751DB">
        <w:rPr>
          <w:rFonts w:ascii="Arial" w:hAnsi="Arial" w:cs="Arial"/>
          <w:color w:val="000000" w:themeColor="text1"/>
          <w:sz w:val="20"/>
        </w:rPr>
        <w:t>i</w:t>
      </w:r>
      <w:r w:rsidR="00097C31" w:rsidRPr="00AB6071">
        <w:rPr>
          <w:rFonts w:ascii="Arial" w:hAnsi="Arial" w:cs="Arial"/>
          <w:color w:val="000000" w:themeColor="text1"/>
          <w:sz w:val="20"/>
        </w:rPr>
        <w:t xml:space="preserve">ty in capital values expected from a diversified global equity portfolio.  These investors will typically </w:t>
      </w:r>
      <w:r w:rsidRPr="00AB6071">
        <w:rPr>
          <w:rFonts w:ascii="Arial" w:hAnsi="Arial" w:cs="Arial"/>
          <w:color w:val="000000" w:themeColor="text1"/>
          <w:sz w:val="20"/>
        </w:rPr>
        <w:t xml:space="preserve">have a medium </w:t>
      </w:r>
      <w:r w:rsidR="00097C31" w:rsidRPr="00AB6071">
        <w:rPr>
          <w:rFonts w:ascii="Arial" w:hAnsi="Arial" w:cs="Arial"/>
          <w:color w:val="000000" w:themeColor="text1"/>
          <w:sz w:val="20"/>
        </w:rPr>
        <w:t xml:space="preserve">to </w:t>
      </w:r>
      <w:r w:rsidR="00FE277C" w:rsidRPr="00AB6071">
        <w:rPr>
          <w:rFonts w:ascii="Arial" w:hAnsi="Arial" w:cs="Arial"/>
          <w:color w:val="000000" w:themeColor="text1"/>
          <w:sz w:val="20"/>
        </w:rPr>
        <w:t xml:space="preserve">high </w:t>
      </w:r>
      <w:r w:rsidR="00097C31" w:rsidRPr="00AB6071">
        <w:rPr>
          <w:rFonts w:ascii="Arial" w:hAnsi="Arial" w:cs="Arial"/>
          <w:color w:val="000000" w:themeColor="text1"/>
          <w:sz w:val="20"/>
        </w:rPr>
        <w:t xml:space="preserve"> </w:t>
      </w:r>
      <w:r w:rsidRPr="00AB6071">
        <w:rPr>
          <w:rFonts w:ascii="Arial" w:hAnsi="Arial" w:cs="Arial"/>
          <w:color w:val="000000" w:themeColor="text1"/>
          <w:sz w:val="20"/>
        </w:rPr>
        <w:t>risk profile.</w:t>
      </w:r>
    </w:p>
    <w:p w14:paraId="1CC4D66D" w14:textId="77777777" w:rsidR="00EA3320" w:rsidRPr="00AB6071" w:rsidRDefault="00EA3320" w:rsidP="00AB6071">
      <w:pPr>
        <w:spacing w:line="288" w:lineRule="auto"/>
        <w:ind w:left="3600"/>
        <w:rPr>
          <w:rFonts w:ascii="Arial" w:hAnsi="Arial" w:cs="Arial"/>
          <w:color w:val="000000" w:themeColor="text1"/>
          <w:sz w:val="20"/>
        </w:rPr>
      </w:pPr>
    </w:p>
    <w:p w14:paraId="18B85CA6" w14:textId="274466A2" w:rsidR="00250D15" w:rsidRPr="00AB6071" w:rsidRDefault="00250D15" w:rsidP="003F461C">
      <w:pPr>
        <w:spacing w:after="160" w:line="259" w:lineRule="auto"/>
        <w:jc w:val="left"/>
        <w:rPr>
          <w:rFonts w:ascii="Arial" w:hAnsi="Arial" w:cs="Arial"/>
          <w:sz w:val="20"/>
        </w:rPr>
      </w:pPr>
      <w:r w:rsidRPr="00AB6071">
        <w:rPr>
          <w:rFonts w:ascii="Arial" w:hAnsi="Arial" w:cs="Arial"/>
          <w:b/>
          <w:sz w:val="20"/>
        </w:rPr>
        <w:t>Investment objective and policy</w:t>
      </w:r>
    </w:p>
    <w:p w14:paraId="73C70B3E" w14:textId="6734DD49" w:rsidR="00250D15" w:rsidRPr="00AB6071"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AB6071">
        <w:rPr>
          <w:rFonts w:ascii="Arial" w:hAnsi="Arial" w:cs="Arial"/>
          <w:color w:val="000000" w:themeColor="text1"/>
          <w:sz w:val="20"/>
        </w:rPr>
        <w:t>The investment objective of the Fund is to achieve long term capital growth appreciation</w:t>
      </w:r>
      <w:r w:rsidR="005914F8" w:rsidRPr="00AB6071">
        <w:rPr>
          <w:rFonts w:ascii="Arial" w:hAnsi="Arial" w:cs="Arial"/>
          <w:color w:val="000000" w:themeColor="text1"/>
          <w:sz w:val="20"/>
        </w:rPr>
        <w:t xml:space="preserve"> </w:t>
      </w:r>
      <w:r w:rsidR="00097C31" w:rsidRPr="00AB6071">
        <w:rPr>
          <w:rFonts w:ascii="Arial" w:hAnsi="Arial" w:cs="Arial"/>
          <w:color w:val="000000" w:themeColor="text1"/>
          <w:sz w:val="20"/>
        </w:rPr>
        <w:t xml:space="preserve">by </w:t>
      </w:r>
      <w:r w:rsidR="00D724F3" w:rsidRPr="00AB6071">
        <w:rPr>
          <w:rFonts w:ascii="Arial" w:hAnsi="Arial" w:cs="Arial"/>
          <w:color w:val="000000" w:themeColor="text1"/>
          <w:sz w:val="20"/>
        </w:rPr>
        <w:t xml:space="preserve">seeking </w:t>
      </w:r>
      <w:r w:rsidR="00097C31" w:rsidRPr="00AB6071">
        <w:rPr>
          <w:rFonts w:ascii="Arial" w:hAnsi="Arial" w:cs="Arial"/>
          <w:color w:val="000000" w:themeColor="text1"/>
          <w:sz w:val="20"/>
        </w:rPr>
        <w:t>to outperform the Benchmark</w:t>
      </w:r>
      <w:r w:rsidR="00EA723D" w:rsidRPr="00AB6071">
        <w:rPr>
          <w:rFonts w:ascii="Arial" w:hAnsi="Arial" w:cs="Arial"/>
          <w:color w:val="000000" w:themeColor="text1"/>
          <w:sz w:val="20"/>
        </w:rPr>
        <w:t xml:space="preserve">. </w:t>
      </w:r>
    </w:p>
    <w:p w14:paraId="3607398B" w14:textId="77777777" w:rsidR="00250D15" w:rsidRPr="00AB6071"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780383B7" w14:textId="721A36CC" w:rsidR="005914F8" w:rsidRPr="00AB6071"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color w:val="000000" w:themeColor="text1"/>
          <w:sz w:val="20"/>
        </w:rPr>
        <w:t xml:space="preserve">The investment objective may be achieved primarily through </w:t>
      </w:r>
      <w:r w:rsidR="00D44B90" w:rsidRPr="00AB6071">
        <w:rPr>
          <w:rFonts w:ascii="Arial" w:hAnsi="Arial" w:cs="Arial"/>
          <w:color w:val="000000" w:themeColor="text1"/>
          <w:sz w:val="20"/>
        </w:rPr>
        <w:t>exposure to</w:t>
      </w:r>
      <w:r w:rsidRPr="00AB6071">
        <w:rPr>
          <w:rFonts w:ascii="Arial" w:hAnsi="Arial" w:cs="Arial"/>
          <w:color w:val="000000" w:themeColor="text1"/>
          <w:sz w:val="20"/>
        </w:rPr>
        <w:t xml:space="preserve"> a diversified portfolio of </w:t>
      </w:r>
      <w:r w:rsidRPr="00AB6071">
        <w:rPr>
          <w:rFonts w:ascii="Arial" w:hAnsi="Arial" w:cs="Arial"/>
          <w:sz w:val="20"/>
        </w:rPr>
        <w:t>global equity securities</w:t>
      </w:r>
      <w:r w:rsidR="005914F8" w:rsidRPr="00AB6071">
        <w:rPr>
          <w:rFonts w:ascii="Arial" w:hAnsi="Arial" w:cs="Arial"/>
          <w:sz w:val="20"/>
        </w:rPr>
        <w:t>.</w:t>
      </w:r>
    </w:p>
    <w:p w14:paraId="12AA6279" w14:textId="77777777" w:rsidR="005914F8" w:rsidRPr="00AB6071" w:rsidRDefault="005914F8"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1622103B" w14:textId="16A3A4BB" w:rsidR="005914F8" w:rsidRPr="002F14EF" w:rsidRDefault="005914F8"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 xml:space="preserve">The </w:t>
      </w:r>
      <w:r w:rsidRPr="002F14EF">
        <w:rPr>
          <w:rFonts w:ascii="Arial" w:hAnsi="Arial" w:cs="Arial"/>
          <w:sz w:val="20"/>
        </w:rPr>
        <w:t xml:space="preserve">Fund may also </w:t>
      </w:r>
      <w:r w:rsidR="00B92ED4" w:rsidRPr="002F14EF">
        <w:rPr>
          <w:rFonts w:ascii="Arial" w:hAnsi="Arial" w:cs="Arial"/>
          <w:sz w:val="20"/>
        </w:rPr>
        <w:t xml:space="preserve">hold cash </w:t>
      </w:r>
      <w:r w:rsidR="00703ECA" w:rsidRPr="002F14EF">
        <w:rPr>
          <w:rFonts w:ascii="Arial" w:hAnsi="Arial" w:cs="Arial"/>
          <w:sz w:val="20"/>
        </w:rPr>
        <w:t>and other</w:t>
      </w:r>
      <w:r w:rsidR="00B92ED4" w:rsidRPr="002F14EF">
        <w:rPr>
          <w:rFonts w:ascii="Arial" w:hAnsi="Arial" w:cs="Arial"/>
          <w:sz w:val="20"/>
        </w:rPr>
        <w:t xml:space="preserve"> liquid assets</w:t>
      </w:r>
      <w:r w:rsidR="00D92744" w:rsidRPr="002F14EF">
        <w:rPr>
          <w:rFonts w:ascii="Arial" w:hAnsi="Arial" w:cs="Arial"/>
          <w:sz w:val="20"/>
        </w:rPr>
        <w:t>,</w:t>
      </w:r>
      <w:r w:rsidR="00250D15" w:rsidRPr="002F14EF">
        <w:rPr>
          <w:rFonts w:ascii="Arial" w:hAnsi="Arial" w:cs="Arial"/>
          <w:sz w:val="20"/>
        </w:rPr>
        <w:t xml:space="preserve"> details of which are set out below</w:t>
      </w:r>
      <w:r w:rsidR="00C6257F" w:rsidRPr="002F14EF">
        <w:rPr>
          <w:rFonts w:ascii="Arial" w:hAnsi="Arial" w:cs="Arial"/>
          <w:sz w:val="20"/>
        </w:rPr>
        <w:t xml:space="preserve"> under “Cash / Liquid Assets”. </w:t>
      </w:r>
    </w:p>
    <w:p w14:paraId="2CE94CC1" w14:textId="77777777" w:rsidR="005914F8" w:rsidRPr="002F14EF" w:rsidRDefault="005914F8"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1A6C4DC5" w14:textId="145EDC47" w:rsidR="005914F8" w:rsidRPr="00AB6071"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2F14EF">
        <w:rPr>
          <w:rFonts w:ascii="Arial" w:hAnsi="Arial" w:cs="Arial"/>
          <w:sz w:val="20"/>
        </w:rPr>
        <w:t>The Fund can invest directly or indirectly (through the use of Regulated Funds</w:t>
      </w:r>
      <w:r w:rsidR="004E37F9" w:rsidRPr="002F14EF">
        <w:rPr>
          <w:rFonts w:ascii="Arial" w:hAnsi="Arial" w:cs="Arial"/>
          <w:sz w:val="20"/>
        </w:rPr>
        <w:t>)</w:t>
      </w:r>
      <w:r w:rsidRPr="002F14EF">
        <w:rPr>
          <w:rFonts w:ascii="Arial" w:hAnsi="Arial" w:cs="Arial"/>
          <w:sz w:val="20"/>
        </w:rPr>
        <w:t xml:space="preserve"> in the</w:t>
      </w:r>
      <w:r w:rsidR="005914F8" w:rsidRPr="002F14EF">
        <w:rPr>
          <w:rFonts w:ascii="Arial" w:hAnsi="Arial" w:cs="Arial"/>
          <w:sz w:val="20"/>
        </w:rPr>
        <w:t xml:space="preserve"> asset classes listed </w:t>
      </w:r>
      <w:r w:rsidR="007B3EC2" w:rsidRPr="002F14EF">
        <w:rPr>
          <w:rFonts w:ascii="Arial" w:hAnsi="Arial" w:cs="Arial"/>
          <w:sz w:val="20"/>
        </w:rPr>
        <w:t>below</w:t>
      </w:r>
      <w:r w:rsidR="00651ABA" w:rsidRPr="002F14EF">
        <w:rPr>
          <w:rFonts w:ascii="Arial" w:hAnsi="Arial" w:cs="Arial"/>
          <w:sz w:val="20"/>
        </w:rPr>
        <w:t>. The Fund may</w:t>
      </w:r>
      <w:r w:rsidR="00936925">
        <w:rPr>
          <w:rFonts w:ascii="Arial" w:hAnsi="Arial" w:cs="Arial"/>
          <w:sz w:val="20"/>
        </w:rPr>
        <w:t xml:space="preserve"> </w:t>
      </w:r>
      <w:r w:rsidR="00651ABA" w:rsidRPr="002F14EF">
        <w:rPr>
          <w:rFonts w:ascii="Arial" w:hAnsi="Arial" w:cs="Arial"/>
          <w:sz w:val="20"/>
        </w:rPr>
        <w:t>also</w:t>
      </w:r>
      <w:r w:rsidR="009F40CF" w:rsidRPr="002F14EF">
        <w:rPr>
          <w:rFonts w:ascii="Arial" w:hAnsi="Arial" w:cs="Arial"/>
          <w:sz w:val="20"/>
        </w:rPr>
        <w:t xml:space="preserve"> hold derivative instruments for efficient portfolio management purposes</w:t>
      </w:r>
      <w:r w:rsidR="00651ABA" w:rsidRPr="002F14EF">
        <w:rPr>
          <w:rFonts w:ascii="Arial" w:hAnsi="Arial" w:cs="Arial"/>
          <w:sz w:val="20"/>
        </w:rPr>
        <w:t xml:space="preserve"> as detailed in the section below entitled “Derivative Trading and Efficient Portfolio Management”.</w:t>
      </w:r>
    </w:p>
    <w:p w14:paraId="071C3B7C" w14:textId="77777777" w:rsidR="005914F8" w:rsidRPr="00AB6071" w:rsidRDefault="005914F8"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030431C8" w14:textId="77777777" w:rsidR="00250D15" w:rsidRPr="00AB6071" w:rsidRDefault="00250D15" w:rsidP="00AB6071">
      <w:pPr>
        <w:widowControl w:val="0"/>
        <w:spacing w:line="288" w:lineRule="auto"/>
        <w:rPr>
          <w:rFonts w:ascii="Arial" w:hAnsi="Arial" w:cs="Arial"/>
          <w:i/>
          <w:color w:val="000000" w:themeColor="text1"/>
          <w:sz w:val="20"/>
        </w:rPr>
      </w:pPr>
      <w:bookmarkStart w:id="10" w:name="_Hlk103074906"/>
      <w:r w:rsidRPr="00AB6071">
        <w:rPr>
          <w:rFonts w:ascii="Arial" w:hAnsi="Arial" w:cs="Arial"/>
          <w:i/>
          <w:color w:val="000000" w:themeColor="text1"/>
          <w:sz w:val="20"/>
        </w:rPr>
        <w:t>Equities and Equity-Related Securities</w:t>
      </w:r>
    </w:p>
    <w:p w14:paraId="52F67CF4" w14:textId="77777777" w:rsidR="00250D15" w:rsidRPr="00AB6071"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732CF1FE" w14:textId="43ABC291" w:rsidR="00250D15" w:rsidRPr="00AB6071"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AB6071">
        <w:rPr>
          <w:rFonts w:ascii="Arial" w:hAnsi="Arial" w:cs="Arial"/>
          <w:color w:val="000000" w:themeColor="text1"/>
          <w:sz w:val="20"/>
        </w:rPr>
        <w:t xml:space="preserve">The Fund can invest up to </w:t>
      </w:r>
      <w:r w:rsidR="00944E49">
        <w:rPr>
          <w:rFonts w:ascii="Arial" w:hAnsi="Arial" w:cs="Arial"/>
          <w:color w:val="000000" w:themeColor="text1"/>
          <w:sz w:val="20"/>
        </w:rPr>
        <w:t>100</w:t>
      </w:r>
      <w:r w:rsidRPr="00AB6071">
        <w:rPr>
          <w:rFonts w:ascii="Arial" w:hAnsi="Arial" w:cs="Arial"/>
          <w:color w:val="000000" w:themeColor="text1"/>
          <w:sz w:val="20"/>
        </w:rPr>
        <w:t xml:space="preserve">% of the Net Asset Value in global equities and equity-related securities, which are listed on a Recognised Exchange worldwide. Equity and equity related securities to which the Fund may have exposure, include, but are not limited, to common stock, American depositary receipts and global depository receipts, equity linked notes, and rights (which are issued by a company to allow holders to subscribe for additional securities issued by that company). </w:t>
      </w:r>
    </w:p>
    <w:bookmarkEnd w:id="10"/>
    <w:p w14:paraId="1E4C9BE8" w14:textId="77777777" w:rsidR="00250D15" w:rsidRPr="00AB6071"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2A465C70" w14:textId="77777777" w:rsidR="00250D15" w:rsidRPr="002F14EF" w:rsidRDefault="00250D15" w:rsidP="00AB6071">
      <w:pPr>
        <w:pBdr>
          <w:top w:val="single" w:sz="6" w:space="0" w:color="FFFFFF"/>
          <w:left w:val="single" w:sz="6" w:space="1"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2F14EF">
        <w:rPr>
          <w:rFonts w:ascii="Arial" w:hAnsi="Arial" w:cs="Arial"/>
          <w:i/>
          <w:color w:val="000000" w:themeColor="text1"/>
          <w:sz w:val="20"/>
        </w:rPr>
        <w:t>Regulated Funds and Exchange Traded Funds</w:t>
      </w:r>
    </w:p>
    <w:p w14:paraId="6854EC22" w14:textId="77777777" w:rsidR="00250D15" w:rsidRPr="002F14EF" w:rsidRDefault="00250D15" w:rsidP="00AB6071">
      <w:pPr>
        <w:widowControl w:val="0"/>
        <w:spacing w:line="288" w:lineRule="auto"/>
        <w:ind w:left="1080"/>
        <w:rPr>
          <w:rFonts w:ascii="Arial" w:hAnsi="Arial" w:cs="Arial"/>
          <w:sz w:val="20"/>
        </w:rPr>
      </w:pPr>
    </w:p>
    <w:p w14:paraId="1CF3BE14" w14:textId="79C5AFAA" w:rsidR="00250D15" w:rsidRPr="002F14EF" w:rsidRDefault="00250D15" w:rsidP="00AB6071">
      <w:pPr>
        <w:widowControl w:val="0"/>
        <w:spacing w:line="288" w:lineRule="auto"/>
        <w:rPr>
          <w:rFonts w:ascii="Arial" w:hAnsi="Arial" w:cs="Arial"/>
          <w:sz w:val="20"/>
        </w:rPr>
      </w:pPr>
      <w:bookmarkStart w:id="11" w:name="_Hlk525132379"/>
      <w:r w:rsidRPr="002F14EF">
        <w:rPr>
          <w:rFonts w:ascii="Arial" w:hAnsi="Arial" w:cs="Arial"/>
          <w:sz w:val="20"/>
        </w:rPr>
        <w:t xml:space="preserve">The Fund may invest up to </w:t>
      </w:r>
      <w:r w:rsidR="00A64071">
        <w:rPr>
          <w:rFonts w:ascii="Arial" w:hAnsi="Arial" w:cs="Arial"/>
          <w:sz w:val="20"/>
        </w:rPr>
        <w:t>75%</w:t>
      </w:r>
      <w:r w:rsidR="003524AF" w:rsidRPr="002F14EF">
        <w:rPr>
          <w:rFonts w:ascii="Arial" w:hAnsi="Arial" w:cs="Arial"/>
          <w:sz w:val="20"/>
        </w:rPr>
        <w:t xml:space="preserve"> </w:t>
      </w:r>
      <w:r w:rsidRPr="002F14EF">
        <w:rPr>
          <w:rFonts w:ascii="Arial" w:hAnsi="Arial" w:cs="Arial"/>
          <w:sz w:val="20"/>
        </w:rPr>
        <w:t xml:space="preserve">of its Net Asset Value in the units and/or shares of Regulated Funds, </w:t>
      </w:r>
      <w:bookmarkEnd w:id="11"/>
      <w:r w:rsidRPr="002F14EF">
        <w:rPr>
          <w:rFonts w:ascii="Arial" w:hAnsi="Arial" w:cs="Arial"/>
          <w:sz w:val="20"/>
        </w:rPr>
        <w:t xml:space="preserve">including money market funds and ETFs (which are eligible for investment by a UCITS) in accordance with the requirements of the Central Bank. </w:t>
      </w:r>
    </w:p>
    <w:p w14:paraId="5B6C4858" w14:textId="3080FBE1" w:rsidR="00B167D4" w:rsidRPr="002F14EF" w:rsidRDefault="00B167D4" w:rsidP="00AB6071">
      <w:pPr>
        <w:widowControl w:val="0"/>
        <w:spacing w:line="288" w:lineRule="auto"/>
        <w:rPr>
          <w:rFonts w:ascii="Arial" w:hAnsi="Arial" w:cs="Arial"/>
          <w:sz w:val="20"/>
        </w:rPr>
      </w:pPr>
    </w:p>
    <w:p w14:paraId="36A12F2B" w14:textId="01EE34A4" w:rsidR="00250D15" w:rsidRPr="00AB6071" w:rsidRDefault="00250D15" w:rsidP="00AB6071">
      <w:pPr>
        <w:widowControl w:val="0"/>
        <w:spacing w:line="288" w:lineRule="auto"/>
        <w:rPr>
          <w:rFonts w:ascii="Arial" w:hAnsi="Arial" w:cs="Arial"/>
          <w:sz w:val="20"/>
        </w:rPr>
      </w:pPr>
      <w:r w:rsidRPr="002F14EF">
        <w:rPr>
          <w:rFonts w:ascii="Arial" w:hAnsi="Arial" w:cs="Arial"/>
          <w:sz w:val="20"/>
        </w:rPr>
        <w:t>Regulated Funds may include UCITS authorised in any Member State, retail open-ended investment funds authorised by the Central Bank, United Kingdom authorised unit trusts, Guernsey Class A Schemes, Jersey Recognised Schemes, Isle of Man Authorised Schemes</w:t>
      </w:r>
      <w:r w:rsidRPr="00AB6071">
        <w:rPr>
          <w:rFonts w:ascii="Arial" w:hAnsi="Arial" w:cs="Arial"/>
          <w:sz w:val="20"/>
        </w:rPr>
        <w:t>, regulated open-ended alternative investment funds domiciled in the EU (Austria, Belgium, France, Germany, Ireland, Italy, Luxembourg</w:t>
      </w:r>
      <w:r w:rsidR="00963111" w:rsidRPr="00AB6071">
        <w:rPr>
          <w:rFonts w:ascii="Arial" w:hAnsi="Arial" w:cs="Arial"/>
          <w:sz w:val="20"/>
        </w:rPr>
        <w:t>), the UK</w:t>
      </w:r>
      <w:r w:rsidR="004C69D6">
        <w:rPr>
          <w:rFonts w:ascii="Arial" w:hAnsi="Arial" w:cs="Arial"/>
          <w:sz w:val="20"/>
        </w:rPr>
        <w:t>,</w:t>
      </w:r>
      <w:r w:rsidR="00963111" w:rsidRPr="00AB6071">
        <w:rPr>
          <w:rFonts w:ascii="Arial" w:hAnsi="Arial" w:cs="Arial"/>
          <w:sz w:val="20"/>
        </w:rPr>
        <w:t xml:space="preserve"> </w:t>
      </w:r>
      <w:r w:rsidRPr="00AB6071">
        <w:rPr>
          <w:rFonts w:ascii="Arial" w:hAnsi="Arial" w:cs="Arial"/>
          <w:sz w:val="20"/>
        </w:rPr>
        <w:t>which fall within the requirements set out in the Central Bank’s Guidance “UCITS Acceptable Investment in other Investment Funds” the level of protection of which is equivalent to that provided to unitholders of a UCITS.</w:t>
      </w:r>
    </w:p>
    <w:p w14:paraId="609B558B" w14:textId="77777777" w:rsidR="00250D15" w:rsidRPr="00AB6071" w:rsidRDefault="00250D15" w:rsidP="00AB6071">
      <w:pPr>
        <w:widowControl w:val="0"/>
        <w:spacing w:line="288" w:lineRule="auto"/>
        <w:rPr>
          <w:rFonts w:ascii="Arial" w:hAnsi="Arial" w:cs="Arial"/>
          <w:sz w:val="20"/>
        </w:rPr>
      </w:pPr>
    </w:p>
    <w:p w14:paraId="40D53503" w14:textId="17567DBA" w:rsidR="00540604" w:rsidRPr="00AB6071" w:rsidRDefault="00250D15" w:rsidP="00D90B79">
      <w:pPr>
        <w:widowControl w:val="0"/>
        <w:tabs>
          <w:tab w:val="left" w:pos="7230"/>
        </w:tabs>
        <w:spacing w:line="288" w:lineRule="auto"/>
        <w:rPr>
          <w:rFonts w:ascii="Arial" w:hAnsi="Arial" w:cs="Arial"/>
          <w:sz w:val="20"/>
        </w:rPr>
      </w:pPr>
      <w:r w:rsidRPr="00AB6071">
        <w:rPr>
          <w:rFonts w:ascii="Arial" w:hAnsi="Arial" w:cs="Arial"/>
          <w:sz w:val="20"/>
        </w:rPr>
        <w:t xml:space="preserve">The Fund will invest in such Regulated Funds when such investment is consistent with the investment policy of the Fund. </w:t>
      </w:r>
    </w:p>
    <w:p w14:paraId="2BB01D6C" w14:textId="77777777" w:rsidR="0096578C" w:rsidRPr="00AB6071" w:rsidRDefault="0096578C" w:rsidP="00AB6071">
      <w:pPr>
        <w:widowControl w:val="0"/>
        <w:spacing w:line="288" w:lineRule="auto"/>
        <w:rPr>
          <w:rFonts w:ascii="Arial" w:hAnsi="Arial" w:cs="Arial"/>
          <w:sz w:val="20"/>
        </w:rPr>
      </w:pPr>
    </w:p>
    <w:p w14:paraId="520FF8E2" w14:textId="023E3F28" w:rsidR="0096578C" w:rsidRPr="00AB6071" w:rsidRDefault="0096578C" w:rsidP="00AB6071">
      <w:pPr>
        <w:widowControl w:val="0"/>
        <w:spacing w:line="288" w:lineRule="auto"/>
        <w:rPr>
          <w:rFonts w:ascii="Arial" w:hAnsi="Arial" w:cs="Arial"/>
          <w:sz w:val="20"/>
        </w:rPr>
      </w:pPr>
      <w:r w:rsidRPr="00AB6071">
        <w:rPr>
          <w:rFonts w:ascii="Arial" w:hAnsi="Arial" w:cs="Arial"/>
          <w:sz w:val="20"/>
        </w:rPr>
        <w:t xml:space="preserve">The Fund may acquire Regulated Funds for the purpose of </w:t>
      </w:r>
      <w:r w:rsidR="00F4471B" w:rsidRPr="00AB6071">
        <w:rPr>
          <w:rFonts w:ascii="Arial" w:hAnsi="Arial" w:cs="Arial"/>
          <w:sz w:val="20"/>
        </w:rPr>
        <w:t xml:space="preserve">gaining exposure to the Benchmark by </w:t>
      </w:r>
      <w:r w:rsidRPr="00AB6071">
        <w:rPr>
          <w:rFonts w:ascii="Arial" w:hAnsi="Arial" w:cs="Arial"/>
          <w:sz w:val="20"/>
        </w:rPr>
        <w:t>obtaining indirect exposure to equity and equity-related securities</w:t>
      </w:r>
      <w:r w:rsidR="001E6CD5" w:rsidRPr="00AB6071">
        <w:rPr>
          <w:rFonts w:ascii="Arial" w:hAnsi="Arial" w:cs="Arial"/>
          <w:sz w:val="20"/>
        </w:rPr>
        <w:t xml:space="preserve">. The Fund may also acquire Regulated Funds </w:t>
      </w:r>
      <w:r w:rsidR="00B82368" w:rsidRPr="00AB6071">
        <w:rPr>
          <w:rFonts w:ascii="Arial" w:hAnsi="Arial" w:cs="Arial"/>
          <w:sz w:val="20"/>
        </w:rPr>
        <w:t xml:space="preserve">which provide </w:t>
      </w:r>
      <w:r w:rsidR="001E6CD5" w:rsidRPr="00AB6071">
        <w:rPr>
          <w:rFonts w:ascii="Arial" w:hAnsi="Arial" w:cs="Arial"/>
          <w:sz w:val="20"/>
        </w:rPr>
        <w:t>exposure to cash / liquid assets (as set out further below under the heading “Cash / Liquid Assets”)</w:t>
      </w:r>
      <w:r w:rsidR="00D80A57">
        <w:rPr>
          <w:rFonts w:ascii="Arial" w:hAnsi="Arial" w:cs="Arial"/>
          <w:sz w:val="20"/>
        </w:rPr>
        <w:t>.</w:t>
      </w:r>
      <w:r w:rsidR="001E6CD5" w:rsidRPr="00AB6071">
        <w:rPr>
          <w:rFonts w:ascii="Arial" w:hAnsi="Arial" w:cs="Arial"/>
          <w:sz w:val="20"/>
        </w:rPr>
        <w:t xml:space="preserve"> </w:t>
      </w:r>
    </w:p>
    <w:p w14:paraId="4C823B15" w14:textId="77777777" w:rsidR="00540604" w:rsidRPr="00AB6071" w:rsidRDefault="00540604" w:rsidP="00AB6071">
      <w:pPr>
        <w:widowControl w:val="0"/>
        <w:spacing w:line="288" w:lineRule="auto"/>
        <w:rPr>
          <w:rFonts w:ascii="Arial" w:hAnsi="Arial" w:cs="Arial"/>
          <w:iCs/>
          <w:sz w:val="20"/>
        </w:rPr>
      </w:pPr>
    </w:p>
    <w:p w14:paraId="422D95EE" w14:textId="642F9E99" w:rsidR="00250D15" w:rsidRPr="00AB6071" w:rsidRDefault="00250D15" w:rsidP="00AB6071">
      <w:pPr>
        <w:widowControl w:val="0"/>
        <w:spacing w:line="288" w:lineRule="auto"/>
        <w:rPr>
          <w:rFonts w:ascii="Arial" w:hAnsi="Arial" w:cs="Arial"/>
          <w:sz w:val="20"/>
        </w:rPr>
      </w:pPr>
      <w:r w:rsidRPr="00AB6071">
        <w:rPr>
          <w:rFonts w:ascii="Arial" w:hAnsi="Arial" w:cs="Arial"/>
          <w:sz w:val="20"/>
        </w:rPr>
        <w:t>Any investment in Regulated Funds which are exchange traded</w:t>
      </w:r>
      <w:r w:rsidR="00FE63B6">
        <w:rPr>
          <w:rFonts w:ascii="Arial" w:hAnsi="Arial" w:cs="Arial"/>
          <w:sz w:val="20"/>
        </w:rPr>
        <w:t xml:space="preserve"> funds</w:t>
      </w:r>
      <w:r w:rsidRPr="00AB6071">
        <w:rPr>
          <w:rFonts w:ascii="Arial" w:hAnsi="Arial" w:cs="Arial"/>
          <w:sz w:val="20"/>
        </w:rPr>
        <w:t xml:space="preserve"> will be listed on a Recognised Exchange.</w:t>
      </w:r>
    </w:p>
    <w:p w14:paraId="648FE481" w14:textId="77777777" w:rsidR="00C61EF6" w:rsidRPr="00AB6071" w:rsidRDefault="00C61EF6" w:rsidP="00AB6071">
      <w:pPr>
        <w:widowControl w:val="0"/>
        <w:spacing w:line="288" w:lineRule="auto"/>
        <w:rPr>
          <w:rFonts w:ascii="Arial" w:hAnsi="Arial" w:cs="Arial"/>
          <w:sz w:val="20"/>
        </w:rPr>
      </w:pPr>
    </w:p>
    <w:p w14:paraId="693BF661" w14:textId="77777777" w:rsidR="00250D15" w:rsidRPr="00AB6071" w:rsidRDefault="00250D15" w:rsidP="004553FA">
      <w:pPr>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i/>
          <w:sz w:val="20"/>
          <w:lang w:val="en-ZA"/>
        </w:rPr>
      </w:pPr>
      <w:r w:rsidRPr="00AB6071">
        <w:rPr>
          <w:rFonts w:ascii="Arial" w:hAnsi="Arial" w:cs="Arial"/>
          <w:i/>
          <w:sz w:val="20"/>
        </w:rPr>
        <w:t xml:space="preserve">Cash / Liquid Assets </w:t>
      </w:r>
    </w:p>
    <w:p w14:paraId="3C67CF64" w14:textId="3F0F4D1C" w:rsidR="00250D15" w:rsidRPr="00AB6071" w:rsidRDefault="00250D15" w:rsidP="00AB6071">
      <w:pPr>
        <w:pBdr>
          <w:top w:val="single" w:sz="6" w:space="8"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bookmarkStart w:id="12" w:name="_Hlk523226064"/>
      <w:r w:rsidRPr="00AB6071">
        <w:rPr>
          <w:rFonts w:ascii="Arial" w:hAnsi="Arial" w:cs="Arial"/>
          <w:sz w:val="20"/>
        </w:rPr>
        <w:t xml:space="preserve">The Fund may also hold cash or </w:t>
      </w:r>
      <w:bookmarkStart w:id="13" w:name="_Hlk523134840"/>
      <w:r w:rsidRPr="00AB6071">
        <w:rPr>
          <w:rFonts w:ascii="Arial" w:hAnsi="Arial" w:cs="Arial"/>
          <w:sz w:val="20"/>
        </w:rPr>
        <w:t>ancillary liquid assets (comprising short term money market instruments which will be listed on a Recognised Exchange, bank deposits and cash equivalents) for cash management purposes</w:t>
      </w:r>
      <w:bookmarkStart w:id="14" w:name="_Hlk530640703"/>
      <w:r w:rsidRPr="00AB6071">
        <w:rPr>
          <w:rFonts w:ascii="Arial" w:hAnsi="Arial" w:cs="Arial"/>
          <w:sz w:val="20"/>
        </w:rPr>
        <w:t>, as cover for financial derivative instrument exposure,</w:t>
      </w:r>
      <w:bookmarkEnd w:id="14"/>
      <w:r w:rsidRPr="00AB6071">
        <w:rPr>
          <w:rFonts w:ascii="Arial" w:hAnsi="Arial" w:cs="Arial"/>
          <w:sz w:val="20"/>
        </w:rPr>
        <w:t xml:space="preserve"> and pending </w:t>
      </w:r>
      <w:bookmarkEnd w:id="13"/>
      <w:r w:rsidRPr="00AB6071">
        <w:rPr>
          <w:rFonts w:ascii="Arial" w:hAnsi="Arial" w:cs="Arial"/>
          <w:sz w:val="20"/>
        </w:rPr>
        <w:t>investment of subscription monies or in anticipation of future redemptions.</w:t>
      </w:r>
      <w:bookmarkStart w:id="15" w:name="_Hlk523226233"/>
      <w:r w:rsidR="00157BF5" w:rsidRPr="00AB6071">
        <w:rPr>
          <w:rFonts w:ascii="Arial" w:hAnsi="Arial" w:cs="Arial"/>
          <w:sz w:val="20"/>
        </w:rPr>
        <w:t xml:space="preserve"> </w:t>
      </w:r>
      <w:r w:rsidRPr="00AB6071">
        <w:rPr>
          <w:rFonts w:ascii="Arial" w:hAnsi="Arial" w:cs="Arial"/>
          <w:iCs/>
          <w:sz w:val="20"/>
        </w:rPr>
        <w:t>The amount of cash and /or ancillary liquid assets that the Fund will hold will vary depending on the foregoing circumstances set out in this paragraph</w:t>
      </w:r>
      <w:r w:rsidR="00154E47" w:rsidRPr="00AB6071">
        <w:rPr>
          <w:rFonts w:ascii="Arial" w:hAnsi="Arial" w:cs="Arial"/>
          <w:iCs/>
          <w:sz w:val="20"/>
        </w:rPr>
        <w:t xml:space="preserve">.  Accordingly, </w:t>
      </w:r>
      <w:r w:rsidRPr="00AB6071">
        <w:rPr>
          <w:rFonts w:ascii="Arial" w:hAnsi="Arial" w:cs="Arial"/>
          <w:iCs/>
          <w:sz w:val="20"/>
        </w:rPr>
        <w:t xml:space="preserve">it is possible that up to 100% of the Net Asset Value of the Fund may be held </w:t>
      </w:r>
      <w:r w:rsidR="00A41C20" w:rsidRPr="00AB6071">
        <w:rPr>
          <w:rFonts w:ascii="Arial" w:hAnsi="Arial" w:cs="Arial"/>
          <w:iCs/>
          <w:sz w:val="20"/>
        </w:rPr>
        <w:t xml:space="preserve">directly or indirectly </w:t>
      </w:r>
      <w:r w:rsidR="00E56C92" w:rsidRPr="00AB6071">
        <w:rPr>
          <w:rFonts w:ascii="Arial" w:hAnsi="Arial" w:cs="Arial"/>
          <w:iCs/>
          <w:sz w:val="20"/>
        </w:rPr>
        <w:t xml:space="preserve">(via investment in Regulated Funds) </w:t>
      </w:r>
      <w:r w:rsidR="00A41C20" w:rsidRPr="00AB6071">
        <w:rPr>
          <w:rFonts w:ascii="Arial" w:hAnsi="Arial" w:cs="Arial"/>
          <w:iCs/>
          <w:sz w:val="20"/>
        </w:rPr>
        <w:t xml:space="preserve"> </w:t>
      </w:r>
      <w:r w:rsidRPr="00AB6071">
        <w:rPr>
          <w:rFonts w:ascii="Arial" w:hAnsi="Arial" w:cs="Arial"/>
          <w:iCs/>
          <w:sz w:val="20"/>
        </w:rPr>
        <w:t>in cash or money market instruments at any time</w:t>
      </w:r>
      <w:r w:rsidRPr="00AB6071">
        <w:rPr>
          <w:rFonts w:ascii="Arial" w:hAnsi="Arial" w:cs="Arial"/>
          <w:sz w:val="20"/>
        </w:rPr>
        <w:t>.</w:t>
      </w:r>
      <w:bookmarkEnd w:id="15"/>
      <w:r w:rsidRPr="00AB6071">
        <w:rPr>
          <w:rFonts w:ascii="Arial" w:hAnsi="Arial" w:cs="Arial"/>
          <w:sz w:val="20"/>
        </w:rPr>
        <w:t xml:space="preserve"> </w:t>
      </w:r>
      <w:bookmarkEnd w:id="12"/>
    </w:p>
    <w:p w14:paraId="72E2A87D" w14:textId="77777777" w:rsidR="00154E47" w:rsidRPr="00AB6071" w:rsidRDefault="00154E47" w:rsidP="00AB6071">
      <w:pPr>
        <w:spacing w:line="288" w:lineRule="auto"/>
        <w:ind w:left="1080"/>
        <w:rPr>
          <w:rFonts w:ascii="Arial" w:hAnsi="Arial" w:cs="Arial"/>
          <w:color w:val="000000" w:themeColor="text1"/>
          <w:sz w:val="20"/>
        </w:rPr>
      </w:pPr>
    </w:p>
    <w:p w14:paraId="7E98670C" w14:textId="00B4E06C" w:rsidR="00EA0258" w:rsidRPr="00AB6071" w:rsidRDefault="00250D15" w:rsidP="00AB6071">
      <w:pPr>
        <w:widowControl w:val="0"/>
        <w:spacing w:line="288" w:lineRule="auto"/>
        <w:rPr>
          <w:rFonts w:ascii="Arial" w:hAnsi="Arial" w:cs="Arial"/>
          <w:color w:val="000000" w:themeColor="text1"/>
          <w:sz w:val="20"/>
        </w:rPr>
      </w:pPr>
      <w:r w:rsidRPr="00AB6071">
        <w:rPr>
          <w:rFonts w:ascii="Arial" w:hAnsi="Arial" w:cs="Arial"/>
          <w:color w:val="000000" w:themeColor="text1"/>
          <w:sz w:val="20"/>
        </w:rPr>
        <w:t xml:space="preserve">Money market instruments, include but are not limited to, </w:t>
      </w:r>
      <w:r w:rsidR="00EA0258" w:rsidRPr="00AB6071">
        <w:rPr>
          <w:rFonts w:ascii="Arial" w:hAnsi="Arial" w:cs="Arial"/>
          <w:color w:val="000000" w:themeColor="text1"/>
          <w:sz w:val="20"/>
        </w:rPr>
        <w:t xml:space="preserve">fixed or floating rate bonds, </w:t>
      </w:r>
      <w:r w:rsidRPr="00AB6071">
        <w:rPr>
          <w:rFonts w:ascii="Arial" w:hAnsi="Arial" w:cs="Arial"/>
          <w:color w:val="000000" w:themeColor="text1"/>
          <w:sz w:val="20"/>
        </w:rPr>
        <w:t>fixed</w:t>
      </w:r>
      <w:r w:rsidR="00EA0258" w:rsidRPr="00AB6071">
        <w:rPr>
          <w:rFonts w:ascii="Arial" w:hAnsi="Arial" w:cs="Arial"/>
          <w:color w:val="000000" w:themeColor="text1"/>
          <w:sz w:val="20"/>
        </w:rPr>
        <w:t xml:space="preserve">, </w:t>
      </w:r>
      <w:r w:rsidRPr="00AB6071">
        <w:rPr>
          <w:rFonts w:ascii="Arial" w:hAnsi="Arial" w:cs="Arial"/>
          <w:color w:val="000000" w:themeColor="text1"/>
          <w:sz w:val="20"/>
        </w:rPr>
        <w:t>floating</w:t>
      </w:r>
      <w:r w:rsidR="00EA0258" w:rsidRPr="00AB6071">
        <w:rPr>
          <w:rFonts w:ascii="Arial" w:hAnsi="Arial" w:cs="Arial"/>
          <w:color w:val="000000" w:themeColor="text1"/>
          <w:sz w:val="20"/>
        </w:rPr>
        <w:t xml:space="preserve"> and variable</w:t>
      </w:r>
      <w:r w:rsidRPr="00AB6071">
        <w:rPr>
          <w:rFonts w:ascii="Arial" w:hAnsi="Arial" w:cs="Arial"/>
          <w:color w:val="000000" w:themeColor="text1"/>
          <w:sz w:val="20"/>
        </w:rPr>
        <w:t xml:space="preserve"> rate notes and fixed or variable rate commercial paper</w:t>
      </w:r>
      <w:r w:rsidR="00EA0258" w:rsidRPr="00AB6071">
        <w:rPr>
          <w:rFonts w:ascii="Arial" w:hAnsi="Arial" w:cs="Arial"/>
          <w:color w:val="000000" w:themeColor="text1"/>
          <w:sz w:val="20"/>
        </w:rPr>
        <w:t xml:space="preserve">, </w:t>
      </w:r>
      <w:r w:rsidRPr="00AB6071">
        <w:rPr>
          <w:rFonts w:ascii="Arial" w:hAnsi="Arial" w:cs="Arial"/>
          <w:color w:val="000000" w:themeColor="text1"/>
          <w:sz w:val="20"/>
        </w:rPr>
        <w:t>(which are considered investment grade or above as rated by the principal rating agencies)</w:t>
      </w:r>
      <w:r w:rsidR="00EA0258" w:rsidRPr="00AB6071">
        <w:rPr>
          <w:rFonts w:ascii="Arial" w:hAnsi="Arial" w:cs="Arial"/>
          <w:color w:val="000000" w:themeColor="text1"/>
          <w:sz w:val="20"/>
        </w:rPr>
        <w:t xml:space="preserve"> </w:t>
      </w:r>
      <w:r w:rsidRPr="00AB6071">
        <w:rPr>
          <w:rFonts w:ascii="Arial" w:hAnsi="Arial" w:cs="Arial"/>
          <w:color w:val="000000" w:themeColor="text1"/>
          <w:sz w:val="20"/>
        </w:rPr>
        <w:t xml:space="preserve">and US treasury issues.  </w:t>
      </w:r>
      <w:r w:rsidR="00154E47" w:rsidRPr="00AB6071">
        <w:rPr>
          <w:rFonts w:ascii="Arial" w:hAnsi="Arial" w:cs="Arial"/>
          <w:color w:val="000000" w:themeColor="text1"/>
          <w:sz w:val="20"/>
        </w:rPr>
        <w:t xml:space="preserve"> </w:t>
      </w:r>
    </w:p>
    <w:p w14:paraId="41E5A8D3" w14:textId="77777777" w:rsidR="00EA0258" w:rsidRPr="00AB6071" w:rsidRDefault="00EA0258" w:rsidP="00AB6071">
      <w:pPr>
        <w:widowControl w:val="0"/>
        <w:spacing w:line="288" w:lineRule="auto"/>
        <w:rPr>
          <w:rFonts w:ascii="Arial" w:hAnsi="Arial" w:cs="Arial"/>
          <w:color w:val="000000" w:themeColor="text1"/>
          <w:sz w:val="20"/>
        </w:rPr>
      </w:pPr>
    </w:p>
    <w:p w14:paraId="154BEAB2" w14:textId="0487E399" w:rsidR="00250D15" w:rsidRPr="00AB6071" w:rsidRDefault="00250D15" w:rsidP="00AB6071">
      <w:pPr>
        <w:spacing w:line="288" w:lineRule="auto"/>
        <w:rPr>
          <w:rFonts w:ascii="Arial" w:hAnsi="Arial" w:cs="Arial"/>
          <w:color w:val="000000" w:themeColor="text1"/>
          <w:sz w:val="20"/>
        </w:rPr>
      </w:pPr>
      <w:r w:rsidRPr="00AB6071">
        <w:rPr>
          <w:rFonts w:ascii="Arial" w:hAnsi="Arial" w:cs="Arial"/>
          <w:color w:val="000000" w:themeColor="text1"/>
          <w:sz w:val="20"/>
        </w:rPr>
        <w:lastRenderedPageBreak/>
        <w:t xml:space="preserve">Cash equivalents include but are not limited to, certificates of deposit, cash deposits denominated in such currency or currencies as the Investment Manager may determine and short-dated debt instruments. </w:t>
      </w:r>
    </w:p>
    <w:p w14:paraId="4F184FA6" w14:textId="746D0874" w:rsidR="00250D15" w:rsidRPr="00AB6071" w:rsidRDefault="00250D15" w:rsidP="00AB6071">
      <w:pPr>
        <w:pBdr>
          <w:top w:val="single" w:sz="6" w:space="8"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r w:rsidRPr="00AB6071">
        <w:rPr>
          <w:rFonts w:ascii="Arial" w:hAnsi="Arial" w:cs="Arial"/>
          <w:b/>
          <w:sz w:val="20"/>
        </w:rPr>
        <w:t>Investors should note the difference between the nature of a deposit and the nature of an investment in the Fund, in particular the risk that the principal invested in the Fund is capable</w:t>
      </w:r>
      <w:r w:rsidR="006751DB">
        <w:rPr>
          <w:rFonts w:ascii="Arial" w:hAnsi="Arial" w:cs="Arial"/>
          <w:b/>
          <w:sz w:val="20"/>
        </w:rPr>
        <w:t xml:space="preserve"> </w:t>
      </w:r>
      <w:r w:rsidRPr="00AB6071">
        <w:rPr>
          <w:rFonts w:ascii="Arial" w:hAnsi="Arial" w:cs="Arial"/>
          <w:b/>
          <w:sz w:val="20"/>
        </w:rPr>
        <w:t>of fluctuation and thus Shareholders may not have all of their principal returned to them on redemption. In addition, investment into the Fund will not benefit from any deposit protection scheme such as might be applicable to an investment in a deposit.</w:t>
      </w:r>
    </w:p>
    <w:p w14:paraId="72B480B2" w14:textId="77777777" w:rsidR="00250D15" w:rsidRPr="00AB6071" w:rsidRDefault="00250D15" w:rsidP="00AB6071">
      <w:pPr>
        <w:spacing w:line="288" w:lineRule="auto"/>
        <w:rPr>
          <w:rFonts w:ascii="Arial" w:hAnsi="Arial" w:cs="Arial"/>
          <w:color w:val="000000" w:themeColor="text1"/>
          <w:sz w:val="20"/>
        </w:rPr>
      </w:pPr>
    </w:p>
    <w:p w14:paraId="11BA345D" w14:textId="77777777" w:rsidR="00250D15" w:rsidRPr="00AB6071" w:rsidRDefault="00250D15" w:rsidP="00AB6071">
      <w:pPr>
        <w:widowControl w:val="0"/>
        <w:spacing w:line="288" w:lineRule="auto"/>
        <w:rPr>
          <w:rFonts w:ascii="Arial" w:hAnsi="Arial" w:cs="Arial"/>
          <w:i/>
          <w:sz w:val="20"/>
        </w:rPr>
      </w:pPr>
      <w:r w:rsidRPr="00AB6071">
        <w:rPr>
          <w:rFonts w:ascii="Arial" w:hAnsi="Arial" w:cs="Arial"/>
          <w:i/>
          <w:sz w:val="20"/>
        </w:rPr>
        <w:t>Geographic, Industry and Market Focus</w:t>
      </w:r>
    </w:p>
    <w:p w14:paraId="2F778577" w14:textId="77777777" w:rsidR="00250D15" w:rsidRPr="00AB6071" w:rsidRDefault="00250D15" w:rsidP="00AB6071">
      <w:pPr>
        <w:widowControl w:val="0"/>
        <w:spacing w:line="288" w:lineRule="auto"/>
        <w:rPr>
          <w:rFonts w:ascii="Arial" w:hAnsi="Arial" w:cs="Arial"/>
          <w:i/>
          <w:sz w:val="20"/>
          <w:u w:val="single"/>
        </w:rPr>
      </w:pPr>
    </w:p>
    <w:p w14:paraId="1747EA1E" w14:textId="54997518" w:rsidR="00250D15" w:rsidRPr="00AB6071" w:rsidRDefault="00250D15" w:rsidP="00AB6071">
      <w:pPr>
        <w:widowControl w:val="0"/>
        <w:spacing w:line="288" w:lineRule="auto"/>
        <w:rPr>
          <w:rFonts w:ascii="Arial" w:hAnsi="Arial" w:cs="Arial"/>
          <w:color w:val="000000" w:themeColor="text1"/>
          <w:sz w:val="20"/>
        </w:rPr>
      </w:pPr>
      <w:r w:rsidRPr="00AB6071">
        <w:rPr>
          <w:rFonts w:ascii="Arial" w:hAnsi="Arial" w:cs="Arial"/>
          <w:color w:val="000000" w:themeColor="text1"/>
          <w:sz w:val="20"/>
        </w:rPr>
        <w:t>Investment will have a global focus insofar as investments are not confined or concentrated in any particular geographic region or market</w:t>
      </w:r>
      <w:r w:rsidR="00934530" w:rsidRPr="00AB6071">
        <w:rPr>
          <w:rFonts w:ascii="Arial" w:hAnsi="Arial" w:cs="Arial"/>
          <w:color w:val="000000" w:themeColor="text1"/>
          <w:sz w:val="20"/>
        </w:rPr>
        <w:t xml:space="preserve">. </w:t>
      </w:r>
    </w:p>
    <w:p w14:paraId="4097731B" w14:textId="7C3A8C57" w:rsidR="00250D15" w:rsidRPr="00AB6071" w:rsidRDefault="00250D15" w:rsidP="00AB6071">
      <w:pPr>
        <w:widowControl w:val="0"/>
        <w:spacing w:line="288" w:lineRule="auto"/>
        <w:rPr>
          <w:rFonts w:ascii="Arial" w:hAnsi="Arial" w:cs="Arial"/>
          <w:color w:val="000000" w:themeColor="text1"/>
          <w:sz w:val="20"/>
        </w:rPr>
      </w:pPr>
    </w:p>
    <w:p w14:paraId="4BD7E35A" w14:textId="198AA4F7" w:rsidR="00250D15" w:rsidRPr="00AB6071" w:rsidRDefault="00250D15" w:rsidP="00AB6071">
      <w:pPr>
        <w:pBdr>
          <w:top w:val="single" w:sz="6" w:space="0" w:color="FFFFFF"/>
          <w:left w:val="single" w:sz="6" w:space="0"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AB6071">
        <w:rPr>
          <w:rFonts w:ascii="Arial" w:hAnsi="Arial" w:cs="Arial"/>
          <w:color w:val="000000" w:themeColor="text1"/>
          <w:sz w:val="20"/>
        </w:rPr>
        <w:t>The volatility of the Fund is expected to be moderate to high.</w:t>
      </w:r>
    </w:p>
    <w:p w14:paraId="3439E390" w14:textId="77777777" w:rsidR="00250D15" w:rsidRPr="00AB6071" w:rsidRDefault="00250D15" w:rsidP="00AB6071">
      <w:pPr>
        <w:pBdr>
          <w:top w:val="single" w:sz="6" w:space="0" w:color="FFFFFF"/>
          <w:left w:val="single" w:sz="6" w:space="0"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2BDBEC6C" w14:textId="77777777" w:rsidR="00250D15" w:rsidRPr="00AB6071" w:rsidRDefault="00250D15" w:rsidP="00AB6071">
      <w:pPr>
        <w:pBdr>
          <w:top w:val="single" w:sz="6" w:space="0" w:color="FFFFFF"/>
          <w:left w:val="single" w:sz="6" w:space="0"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r w:rsidRPr="00AB6071">
        <w:rPr>
          <w:rFonts w:ascii="Arial" w:hAnsi="Arial" w:cs="Arial"/>
          <w:b/>
          <w:sz w:val="20"/>
        </w:rPr>
        <w:t>Investment Strategy</w:t>
      </w:r>
    </w:p>
    <w:p w14:paraId="0ACC52EF" w14:textId="77777777" w:rsidR="00B350B5" w:rsidRPr="00AB6071" w:rsidRDefault="00B350B5" w:rsidP="00AB6071">
      <w:pPr>
        <w:pBdr>
          <w:top w:val="single" w:sz="6" w:space="0" w:color="FFFFFF"/>
          <w:left w:val="single" w:sz="6" w:space="0"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4CF2A3EB" w14:textId="30B77186" w:rsidR="00B350B5" w:rsidRPr="00AB6071" w:rsidRDefault="00B350B5" w:rsidP="00AB6071">
      <w:pPr>
        <w:pBdr>
          <w:top w:val="single" w:sz="6" w:space="0" w:color="FFFFFF"/>
          <w:left w:val="single" w:sz="6" w:space="0"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AB6071">
        <w:rPr>
          <w:rFonts w:ascii="Arial" w:hAnsi="Arial" w:cs="Arial"/>
          <w:color w:val="000000" w:themeColor="text1"/>
          <w:sz w:val="20"/>
        </w:rPr>
        <w:t xml:space="preserve">The Fund aims to capture equity upside by having the majority of the capital allocated to equites both directly and indirectly through Regulated Funds. Accordingly, long term capital growth will be of higher priority than minimising short term volatility. </w:t>
      </w:r>
    </w:p>
    <w:p w14:paraId="1488506E" w14:textId="4C824D39" w:rsidR="0025597C" w:rsidRPr="00AB6071" w:rsidRDefault="0025597C" w:rsidP="00AB6071">
      <w:pPr>
        <w:pBdr>
          <w:top w:val="single" w:sz="6" w:space="0" w:color="FFFFFF"/>
          <w:left w:val="single" w:sz="6" w:space="0"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6F8E9107" w14:textId="6E83652A" w:rsidR="00250D15" w:rsidRPr="00AB6071" w:rsidRDefault="0025597C" w:rsidP="00AB6071">
      <w:pPr>
        <w:pBdr>
          <w:top w:val="single" w:sz="6" w:space="0" w:color="FFFFFF"/>
          <w:left w:val="single" w:sz="6" w:space="0"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bookmarkStart w:id="16" w:name="_Hlk35519710"/>
      <w:r w:rsidRPr="00AB6071">
        <w:rPr>
          <w:rFonts w:ascii="Arial" w:hAnsi="Arial" w:cs="Arial"/>
          <w:color w:val="000000" w:themeColor="text1"/>
          <w:sz w:val="20"/>
        </w:rPr>
        <w:t xml:space="preserve">The </w:t>
      </w:r>
      <w:r w:rsidR="003F6C7E" w:rsidRPr="00AB6071">
        <w:rPr>
          <w:rFonts w:ascii="Arial" w:hAnsi="Arial" w:cs="Arial"/>
          <w:color w:val="000000" w:themeColor="text1"/>
          <w:sz w:val="20"/>
        </w:rPr>
        <w:t xml:space="preserve">investment strategy </w:t>
      </w:r>
      <w:r w:rsidRPr="00AB6071">
        <w:rPr>
          <w:rFonts w:ascii="Arial" w:hAnsi="Arial" w:cs="Arial"/>
          <w:color w:val="000000" w:themeColor="text1"/>
          <w:sz w:val="20"/>
        </w:rPr>
        <w:t xml:space="preserve">will aim to </w:t>
      </w:r>
      <w:r w:rsidR="003F6C7E" w:rsidRPr="00AB6071">
        <w:rPr>
          <w:rFonts w:ascii="Arial" w:hAnsi="Arial" w:cs="Arial"/>
          <w:color w:val="000000" w:themeColor="text1"/>
          <w:sz w:val="20"/>
        </w:rPr>
        <w:t xml:space="preserve">minimise </w:t>
      </w:r>
      <w:r w:rsidRPr="00AB6071">
        <w:rPr>
          <w:rFonts w:ascii="Arial" w:hAnsi="Arial" w:cs="Arial"/>
          <w:color w:val="000000" w:themeColor="text1"/>
          <w:sz w:val="20"/>
        </w:rPr>
        <w:t xml:space="preserve">active risk </w:t>
      </w:r>
      <w:r w:rsidR="003F6C7E" w:rsidRPr="00AB6071">
        <w:rPr>
          <w:rFonts w:ascii="Arial" w:hAnsi="Arial" w:cs="Arial"/>
          <w:color w:val="000000" w:themeColor="text1"/>
          <w:sz w:val="20"/>
        </w:rPr>
        <w:t xml:space="preserve">(difference between the stock allocation in the portfolio </w:t>
      </w:r>
      <w:r w:rsidR="00C07B8C" w:rsidRPr="00AB6071">
        <w:rPr>
          <w:rFonts w:ascii="Arial" w:hAnsi="Arial" w:cs="Arial"/>
          <w:color w:val="000000" w:themeColor="text1"/>
          <w:sz w:val="20"/>
        </w:rPr>
        <w:t xml:space="preserve">versus </w:t>
      </w:r>
      <w:r w:rsidR="003F6C7E" w:rsidRPr="00AB6071">
        <w:rPr>
          <w:rFonts w:ascii="Arial" w:hAnsi="Arial" w:cs="Arial"/>
          <w:color w:val="000000" w:themeColor="text1"/>
          <w:sz w:val="20"/>
        </w:rPr>
        <w:t xml:space="preserve">the stock allocation in the </w:t>
      </w:r>
      <w:r w:rsidR="00C07B8C" w:rsidRPr="00AB6071">
        <w:rPr>
          <w:rFonts w:ascii="Arial" w:hAnsi="Arial" w:cs="Arial"/>
          <w:color w:val="000000" w:themeColor="text1"/>
          <w:sz w:val="20"/>
        </w:rPr>
        <w:t>B</w:t>
      </w:r>
      <w:r w:rsidR="003F6C7E" w:rsidRPr="00AB6071">
        <w:rPr>
          <w:rFonts w:ascii="Arial" w:hAnsi="Arial" w:cs="Arial"/>
          <w:color w:val="000000" w:themeColor="text1"/>
          <w:sz w:val="20"/>
        </w:rPr>
        <w:t xml:space="preserve">enchmark) </w:t>
      </w:r>
      <w:r w:rsidRPr="00AB6071">
        <w:rPr>
          <w:rFonts w:ascii="Arial" w:hAnsi="Arial" w:cs="Arial"/>
          <w:color w:val="000000" w:themeColor="text1"/>
          <w:sz w:val="20"/>
        </w:rPr>
        <w:t xml:space="preserve">by </w:t>
      </w:r>
      <w:r w:rsidR="003F6C7E" w:rsidRPr="00AB6071">
        <w:rPr>
          <w:rFonts w:ascii="Arial" w:hAnsi="Arial" w:cs="Arial"/>
          <w:color w:val="000000" w:themeColor="text1"/>
          <w:sz w:val="20"/>
        </w:rPr>
        <w:t xml:space="preserve">either </w:t>
      </w:r>
      <w:r w:rsidRPr="00AB6071">
        <w:rPr>
          <w:rFonts w:ascii="Arial" w:hAnsi="Arial" w:cs="Arial"/>
          <w:color w:val="000000" w:themeColor="text1"/>
          <w:sz w:val="20"/>
        </w:rPr>
        <w:t xml:space="preserve">holding a portfolio of equities </w:t>
      </w:r>
      <w:r w:rsidR="003F6C7E" w:rsidRPr="00AB6071">
        <w:rPr>
          <w:rFonts w:ascii="Arial" w:hAnsi="Arial" w:cs="Arial"/>
          <w:color w:val="000000" w:themeColor="text1"/>
          <w:sz w:val="20"/>
        </w:rPr>
        <w:t xml:space="preserve">and / or pools of equities that resembles the </w:t>
      </w:r>
      <w:r w:rsidR="00C07B8C" w:rsidRPr="00AB6071">
        <w:rPr>
          <w:rFonts w:ascii="Arial" w:hAnsi="Arial" w:cs="Arial"/>
          <w:color w:val="000000" w:themeColor="text1"/>
          <w:sz w:val="20"/>
        </w:rPr>
        <w:t>B</w:t>
      </w:r>
      <w:r w:rsidR="003F6C7E" w:rsidRPr="00AB6071">
        <w:rPr>
          <w:rFonts w:ascii="Arial" w:hAnsi="Arial" w:cs="Arial"/>
          <w:color w:val="000000" w:themeColor="text1"/>
          <w:sz w:val="20"/>
        </w:rPr>
        <w:t>enchmark</w:t>
      </w:r>
      <w:r w:rsidR="004E37F9">
        <w:rPr>
          <w:rFonts w:ascii="Arial" w:hAnsi="Arial" w:cs="Arial"/>
          <w:color w:val="000000" w:themeColor="text1"/>
          <w:sz w:val="20"/>
        </w:rPr>
        <w:t>.</w:t>
      </w:r>
      <w:bookmarkEnd w:id="16"/>
    </w:p>
    <w:p w14:paraId="17CE644B" w14:textId="77777777" w:rsidR="00590FE7" w:rsidRPr="00AB6071" w:rsidRDefault="00590FE7" w:rsidP="00AB6071">
      <w:pPr>
        <w:spacing w:line="288" w:lineRule="auto"/>
        <w:rPr>
          <w:rFonts w:ascii="Arial" w:hAnsi="Arial" w:cs="Arial"/>
          <w:sz w:val="20"/>
        </w:rPr>
      </w:pPr>
    </w:p>
    <w:p w14:paraId="399DBDBE" w14:textId="5B05D62F" w:rsidR="006B2B76" w:rsidRPr="00AB6071" w:rsidRDefault="006B2B76" w:rsidP="00AB6071">
      <w:pPr>
        <w:spacing w:line="288" w:lineRule="auto"/>
        <w:rPr>
          <w:rFonts w:ascii="Arial" w:hAnsi="Arial" w:cs="Arial"/>
          <w:sz w:val="20"/>
        </w:rPr>
      </w:pPr>
      <w:r w:rsidRPr="00AB6071">
        <w:rPr>
          <w:rFonts w:ascii="Arial" w:hAnsi="Arial" w:cs="Arial"/>
          <w:sz w:val="20"/>
        </w:rPr>
        <w:t xml:space="preserve">The Fund will always look for the most cost-effective method to gain exposure to the equity market; this may </w:t>
      </w:r>
      <w:r w:rsidR="004F0421">
        <w:rPr>
          <w:rFonts w:ascii="Arial" w:hAnsi="Arial" w:cs="Arial"/>
          <w:sz w:val="20"/>
        </w:rPr>
        <w:t xml:space="preserve">include </w:t>
      </w:r>
      <w:r w:rsidRPr="00AB6071">
        <w:rPr>
          <w:rFonts w:ascii="Arial" w:hAnsi="Arial" w:cs="Arial"/>
          <w:sz w:val="20"/>
        </w:rPr>
        <w:t>mak</w:t>
      </w:r>
      <w:r w:rsidR="004F0421">
        <w:rPr>
          <w:rFonts w:ascii="Arial" w:hAnsi="Arial" w:cs="Arial"/>
          <w:sz w:val="20"/>
        </w:rPr>
        <w:t>ing</w:t>
      </w:r>
      <w:r w:rsidRPr="00AB6071">
        <w:rPr>
          <w:rFonts w:ascii="Arial" w:hAnsi="Arial" w:cs="Arial"/>
          <w:sz w:val="20"/>
        </w:rPr>
        <w:t xml:space="preserve"> use of derivatives </w:t>
      </w:r>
      <w:r w:rsidR="00DC6472">
        <w:rPr>
          <w:rFonts w:ascii="Arial" w:hAnsi="Arial" w:cs="Arial"/>
          <w:sz w:val="20"/>
        </w:rPr>
        <w:t xml:space="preserve">for </w:t>
      </w:r>
      <w:r w:rsidR="00763563">
        <w:rPr>
          <w:rFonts w:ascii="Arial" w:hAnsi="Arial" w:cs="Arial"/>
          <w:sz w:val="20"/>
        </w:rPr>
        <w:t>e</w:t>
      </w:r>
      <w:r w:rsidR="00DC6472">
        <w:rPr>
          <w:rFonts w:ascii="Arial" w:hAnsi="Arial" w:cs="Arial"/>
          <w:sz w:val="20"/>
        </w:rPr>
        <w:t xml:space="preserve">fficient </w:t>
      </w:r>
      <w:r w:rsidR="00763563">
        <w:rPr>
          <w:rFonts w:ascii="Arial" w:hAnsi="Arial" w:cs="Arial"/>
          <w:sz w:val="20"/>
        </w:rPr>
        <w:t>p</w:t>
      </w:r>
      <w:r w:rsidR="00DC6472">
        <w:rPr>
          <w:rFonts w:ascii="Arial" w:hAnsi="Arial" w:cs="Arial"/>
          <w:sz w:val="20"/>
        </w:rPr>
        <w:t xml:space="preserve">ortfolio </w:t>
      </w:r>
      <w:r w:rsidR="00763563">
        <w:rPr>
          <w:rFonts w:ascii="Arial" w:hAnsi="Arial" w:cs="Arial"/>
          <w:sz w:val="20"/>
        </w:rPr>
        <w:t>m</w:t>
      </w:r>
      <w:r w:rsidR="00DC6472">
        <w:rPr>
          <w:rFonts w:ascii="Arial" w:hAnsi="Arial" w:cs="Arial"/>
          <w:sz w:val="20"/>
        </w:rPr>
        <w:t>anagement</w:t>
      </w:r>
      <w:r w:rsidR="009F40CF">
        <w:rPr>
          <w:rFonts w:ascii="Arial" w:hAnsi="Arial" w:cs="Arial"/>
          <w:sz w:val="20"/>
        </w:rPr>
        <w:t xml:space="preserve"> purposes</w:t>
      </w:r>
      <w:r w:rsidR="00651ABA">
        <w:rPr>
          <w:rFonts w:ascii="Arial" w:hAnsi="Arial" w:cs="Arial"/>
          <w:sz w:val="20"/>
        </w:rPr>
        <w:t xml:space="preserve">, such as </w:t>
      </w:r>
      <w:r w:rsidRPr="00AB6071">
        <w:rPr>
          <w:rFonts w:ascii="Arial" w:hAnsi="Arial" w:cs="Arial"/>
          <w:sz w:val="20"/>
        </w:rPr>
        <w:t>to gain exposure to equities at lower cost</w:t>
      </w:r>
      <w:r w:rsidR="000964FA" w:rsidRPr="00AB6071">
        <w:rPr>
          <w:rFonts w:ascii="Arial" w:hAnsi="Arial" w:cs="Arial"/>
          <w:sz w:val="20"/>
        </w:rPr>
        <w:t>.</w:t>
      </w:r>
    </w:p>
    <w:p w14:paraId="7384E4C8" w14:textId="77777777" w:rsidR="006B2B76" w:rsidRPr="00AB6071" w:rsidRDefault="006B2B76" w:rsidP="00AB6071">
      <w:pPr>
        <w:spacing w:line="288" w:lineRule="auto"/>
        <w:rPr>
          <w:rFonts w:ascii="Arial" w:hAnsi="Arial" w:cs="Arial"/>
          <w:sz w:val="20"/>
        </w:rPr>
      </w:pPr>
    </w:p>
    <w:p w14:paraId="567E84DF" w14:textId="1876E156" w:rsidR="000964FA" w:rsidRPr="00AB6071" w:rsidRDefault="006B2B76" w:rsidP="00AB6071">
      <w:pPr>
        <w:spacing w:line="288" w:lineRule="auto"/>
        <w:rPr>
          <w:rFonts w:ascii="Arial" w:hAnsi="Arial" w:cs="Arial"/>
          <w:iCs/>
          <w:sz w:val="20"/>
        </w:rPr>
      </w:pPr>
      <w:r w:rsidRPr="00AB6071">
        <w:rPr>
          <w:rFonts w:ascii="Arial" w:hAnsi="Arial" w:cs="Arial"/>
          <w:sz w:val="20"/>
        </w:rPr>
        <w:t>Invest</w:t>
      </w:r>
      <w:r w:rsidR="000964FA" w:rsidRPr="00AB6071">
        <w:rPr>
          <w:rFonts w:ascii="Arial" w:hAnsi="Arial" w:cs="Arial"/>
          <w:sz w:val="20"/>
        </w:rPr>
        <w:t xml:space="preserve">ment in </w:t>
      </w:r>
      <w:r w:rsidRPr="00AB6071">
        <w:rPr>
          <w:rFonts w:ascii="Arial" w:hAnsi="Arial" w:cs="Arial"/>
          <w:sz w:val="20"/>
        </w:rPr>
        <w:t>money market instruments</w:t>
      </w:r>
      <w:r w:rsidR="000964FA" w:rsidRPr="00AB6071">
        <w:rPr>
          <w:rFonts w:ascii="Arial" w:hAnsi="Arial" w:cs="Arial"/>
          <w:sz w:val="20"/>
        </w:rPr>
        <w:t xml:space="preserve"> will be used for cash management purposes, as cover for financial derivative instrument exposure, and pending investment of subscription monies or in anticipation of future redemptions.  </w:t>
      </w:r>
    </w:p>
    <w:p w14:paraId="64D1C7F2" w14:textId="77777777" w:rsidR="000964FA" w:rsidRPr="00AB6071" w:rsidRDefault="000964FA" w:rsidP="00AB6071">
      <w:pPr>
        <w:spacing w:line="288" w:lineRule="auto"/>
        <w:rPr>
          <w:rFonts w:ascii="Arial" w:hAnsi="Arial" w:cs="Arial"/>
          <w:iCs/>
          <w:sz w:val="20"/>
        </w:rPr>
      </w:pPr>
    </w:p>
    <w:p w14:paraId="2C247A29" w14:textId="61E9DD86" w:rsidR="006E4DDC" w:rsidRPr="00AB6071" w:rsidRDefault="000964FA" w:rsidP="00AB6071">
      <w:pPr>
        <w:widowControl w:val="0"/>
        <w:spacing w:line="288" w:lineRule="auto"/>
        <w:rPr>
          <w:rFonts w:ascii="Arial" w:hAnsi="Arial" w:cs="Arial"/>
          <w:sz w:val="20"/>
        </w:rPr>
      </w:pPr>
      <w:r w:rsidRPr="00AB6071">
        <w:rPr>
          <w:rFonts w:ascii="Arial" w:hAnsi="Arial" w:cs="Arial"/>
          <w:sz w:val="20"/>
        </w:rPr>
        <w:t xml:space="preserve">As set out above, the Fund may acquire Regulated Funds for the purpose of </w:t>
      </w:r>
      <w:r w:rsidR="00F4471B" w:rsidRPr="00AB6071">
        <w:rPr>
          <w:rFonts w:ascii="Arial" w:hAnsi="Arial" w:cs="Arial"/>
          <w:sz w:val="20"/>
        </w:rPr>
        <w:t xml:space="preserve">gaining exposure to the Benchmark by </w:t>
      </w:r>
      <w:r w:rsidRPr="00AB6071">
        <w:rPr>
          <w:rFonts w:ascii="Arial" w:hAnsi="Arial" w:cs="Arial"/>
          <w:sz w:val="20"/>
        </w:rPr>
        <w:t>obtaining indirect exposure to equity and equity-related securities and /or for the purpose of providing collateral in respect of financial derivative positions</w:t>
      </w:r>
      <w:r w:rsidR="00DC6472">
        <w:rPr>
          <w:rFonts w:ascii="Arial" w:hAnsi="Arial" w:cs="Arial"/>
          <w:sz w:val="20"/>
        </w:rPr>
        <w:t xml:space="preserve"> where these are used for </w:t>
      </w:r>
      <w:r w:rsidR="00763563">
        <w:rPr>
          <w:rFonts w:ascii="Arial" w:hAnsi="Arial" w:cs="Arial"/>
          <w:sz w:val="20"/>
        </w:rPr>
        <w:t>e</w:t>
      </w:r>
      <w:r w:rsidR="00DC6472">
        <w:rPr>
          <w:rFonts w:ascii="Arial" w:hAnsi="Arial" w:cs="Arial"/>
          <w:sz w:val="20"/>
        </w:rPr>
        <w:t xml:space="preserve">fficient </w:t>
      </w:r>
      <w:r w:rsidR="00763563">
        <w:rPr>
          <w:rFonts w:ascii="Arial" w:hAnsi="Arial" w:cs="Arial"/>
          <w:sz w:val="20"/>
        </w:rPr>
        <w:t>p</w:t>
      </w:r>
      <w:r w:rsidR="00DC6472">
        <w:rPr>
          <w:rFonts w:ascii="Arial" w:hAnsi="Arial" w:cs="Arial"/>
          <w:sz w:val="20"/>
        </w:rPr>
        <w:t xml:space="preserve">ortfolio </w:t>
      </w:r>
      <w:r w:rsidR="00763563">
        <w:rPr>
          <w:rFonts w:ascii="Arial" w:hAnsi="Arial" w:cs="Arial"/>
          <w:sz w:val="20"/>
        </w:rPr>
        <w:t>m</w:t>
      </w:r>
      <w:r w:rsidR="00DC6472">
        <w:rPr>
          <w:rFonts w:ascii="Arial" w:hAnsi="Arial" w:cs="Arial"/>
          <w:sz w:val="20"/>
        </w:rPr>
        <w:t>anagement</w:t>
      </w:r>
      <w:r w:rsidRPr="00AB6071">
        <w:rPr>
          <w:rFonts w:ascii="Arial" w:hAnsi="Arial" w:cs="Arial"/>
          <w:sz w:val="20"/>
        </w:rPr>
        <w:t>.</w:t>
      </w:r>
      <w:r w:rsidR="0043261F" w:rsidRPr="00AB6071">
        <w:rPr>
          <w:rFonts w:ascii="Arial" w:hAnsi="Arial" w:cs="Arial"/>
          <w:sz w:val="20"/>
        </w:rPr>
        <w:t xml:space="preserve">  To that effect, the Investment Manager </w:t>
      </w:r>
      <w:r w:rsidR="0088722F">
        <w:rPr>
          <w:rFonts w:ascii="Arial" w:hAnsi="Arial" w:cs="Arial"/>
          <w:sz w:val="20"/>
        </w:rPr>
        <w:t>c</w:t>
      </w:r>
      <w:r w:rsidR="0043261F" w:rsidRPr="00AB6071">
        <w:rPr>
          <w:rFonts w:ascii="Arial" w:hAnsi="Arial" w:cs="Arial"/>
          <w:sz w:val="20"/>
        </w:rPr>
        <w:t>ould seek Regulated Funds (such as money market funds, bond funds, and income funds) that have low risk and provide interest income.</w:t>
      </w:r>
      <w:r w:rsidR="0060730E" w:rsidRPr="00AB6071">
        <w:rPr>
          <w:rFonts w:ascii="Arial" w:hAnsi="Arial" w:cs="Arial"/>
          <w:sz w:val="20"/>
        </w:rPr>
        <w:t xml:space="preserve"> </w:t>
      </w:r>
      <w:r w:rsidR="0043261F" w:rsidRPr="00AB6071">
        <w:rPr>
          <w:rFonts w:ascii="Arial" w:hAnsi="Arial" w:cs="Arial"/>
          <w:sz w:val="20"/>
        </w:rPr>
        <w:t xml:space="preserve"> </w:t>
      </w:r>
      <w:r w:rsidR="006E4DDC" w:rsidRPr="00AB6071">
        <w:rPr>
          <w:rFonts w:ascii="Arial" w:hAnsi="Arial" w:cs="Arial"/>
          <w:sz w:val="20"/>
        </w:rPr>
        <w:t>Where the Investment Manager proposes to invest in a Regulated Fund they employ a thorough due diligence process. Amongst other factors, the Investment Manager considers the following factors:</w:t>
      </w:r>
    </w:p>
    <w:p w14:paraId="2702FD3A" w14:textId="1F4E0A9E" w:rsidR="006E4DDC" w:rsidRPr="00AB6071" w:rsidRDefault="006E4DDC" w:rsidP="00AB6071">
      <w:pPr>
        <w:tabs>
          <w:tab w:val="left" w:pos="2430"/>
        </w:tabs>
        <w:spacing w:line="288" w:lineRule="auto"/>
        <w:rPr>
          <w:rFonts w:ascii="Arial" w:hAnsi="Arial" w:cs="Arial"/>
          <w:sz w:val="20"/>
        </w:rPr>
      </w:pPr>
    </w:p>
    <w:p w14:paraId="32B0D73C" w14:textId="012990E1" w:rsidR="00C971B7" w:rsidRPr="00AB6071" w:rsidRDefault="00C971B7" w:rsidP="00AB6071">
      <w:pPr>
        <w:pStyle w:val="ListParagraph"/>
        <w:numPr>
          <w:ilvl w:val="0"/>
          <w:numId w:val="5"/>
        </w:numPr>
        <w:tabs>
          <w:tab w:val="left" w:pos="2430"/>
        </w:tabs>
        <w:spacing w:line="288" w:lineRule="auto"/>
        <w:rPr>
          <w:rFonts w:ascii="Arial" w:hAnsi="Arial" w:cs="Arial"/>
          <w:sz w:val="20"/>
        </w:rPr>
      </w:pPr>
      <w:r w:rsidRPr="00AB6071">
        <w:rPr>
          <w:rFonts w:ascii="Arial" w:hAnsi="Arial" w:cs="Arial"/>
          <w:sz w:val="20"/>
        </w:rPr>
        <w:t>Exposure that the underlying assets provide, both geographically as well as across asset classes</w:t>
      </w:r>
      <w:r w:rsidR="004553FA">
        <w:rPr>
          <w:rFonts w:ascii="Arial" w:hAnsi="Arial" w:cs="Arial"/>
          <w:sz w:val="20"/>
        </w:rPr>
        <w:t>;</w:t>
      </w:r>
    </w:p>
    <w:p w14:paraId="0E7B0B5A" w14:textId="5BA18FF1" w:rsidR="00C971B7" w:rsidRPr="00AB6071" w:rsidRDefault="00C971B7" w:rsidP="00AB6071">
      <w:pPr>
        <w:pStyle w:val="ListParagraph"/>
        <w:numPr>
          <w:ilvl w:val="0"/>
          <w:numId w:val="5"/>
        </w:numPr>
        <w:tabs>
          <w:tab w:val="left" w:pos="2430"/>
        </w:tabs>
        <w:spacing w:line="288" w:lineRule="auto"/>
        <w:rPr>
          <w:rFonts w:ascii="Arial" w:hAnsi="Arial" w:cs="Arial"/>
          <w:sz w:val="20"/>
        </w:rPr>
      </w:pPr>
      <w:r w:rsidRPr="00AB6071">
        <w:rPr>
          <w:rFonts w:ascii="Arial" w:hAnsi="Arial" w:cs="Arial"/>
          <w:sz w:val="20"/>
        </w:rPr>
        <w:t>Credit ratings</w:t>
      </w:r>
      <w:r w:rsidR="004553FA">
        <w:rPr>
          <w:rFonts w:ascii="Arial" w:hAnsi="Arial" w:cs="Arial"/>
          <w:sz w:val="20"/>
        </w:rPr>
        <w:t>;</w:t>
      </w:r>
    </w:p>
    <w:p w14:paraId="59DD1448" w14:textId="154D5E83" w:rsidR="00C971B7" w:rsidRPr="00AB6071" w:rsidRDefault="00C971B7" w:rsidP="00AB6071">
      <w:pPr>
        <w:pStyle w:val="ListParagraph"/>
        <w:numPr>
          <w:ilvl w:val="0"/>
          <w:numId w:val="5"/>
        </w:numPr>
        <w:tabs>
          <w:tab w:val="left" w:pos="2430"/>
        </w:tabs>
        <w:spacing w:line="288" w:lineRule="auto"/>
        <w:rPr>
          <w:rFonts w:ascii="Arial" w:hAnsi="Arial" w:cs="Arial"/>
          <w:sz w:val="20"/>
        </w:rPr>
      </w:pPr>
      <w:r w:rsidRPr="00AB6071">
        <w:rPr>
          <w:rFonts w:ascii="Arial" w:hAnsi="Arial" w:cs="Arial"/>
          <w:sz w:val="20"/>
        </w:rPr>
        <w:t>Yield</w:t>
      </w:r>
      <w:r w:rsidR="004553FA">
        <w:rPr>
          <w:rFonts w:ascii="Arial" w:hAnsi="Arial" w:cs="Arial"/>
          <w:sz w:val="20"/>
        </w:rPr>
        <w:t>;</w:t>
      </w:r>
    </w:p>
    <w:p w14:paraId="1508C602" w14:textId="320E1069" w:rsidR="00C971B7" w:rsidRPr="00AB6071" w:rsidRDefault="00C971B7" w:rsidP="00AB6071">
      <w:pPr>
        <w:pStyle w:val="ListParagraph"/>
        <w:numPr>
          <w:ilvl w:val="0"/>
          <w:numId w:val="5"/>
        </w:numPr>
        <w:spacing w:line="288" w:lineRule="auto"/>
        <w:rPr>
          <w:rFonts w:ascii="Arial" w:hAnsi="Arial" w:cs="Arial"/>
          <w:sz w:val="20"/>
        </w:rPr>
      </w:pPr>
      <w:r w:rsidRPr="00AB6071">
        <w:rPr>
          <w:rFonts w:ascii="Arial" w:hAnsi="Arial" w:cs="Arial"/>
          <w:sz w:val="20"/>
        </w:rPr>
        <w:t>Quality / Track record of manager</w:t>
      </w:r>
      <w:r w:rsidR="004553FA">
        <w:rPr>
          <w:rFonts w:ascii="Arial" w:hAnsi="Arial" w:cs="Arial"/>
          <w:sz w:val="20"/>
        </w:rPr>
        <w:t>;</w:t>
      </w:r>
      <w:r w:rsidR="00333E0E" w:rsidRPr="00AB6071">
        <w:rPr>
          <w:rFonts w:ascii="Arial" w:hAnsi="Arial" w:cs="Arial"/>
          <w:sz w:val="20"/>
        </w:rPr>
        <w:t xml:space="preserve"> and</w:t>
      </w:r>
    </w:p>
    <w:p w14:paraId="293A5F2E" w14:textId="777951BE" w:rsidR="006E4DDC" w:rsidRPr="00AB6071" w:rsidRDefault="00C971B7" w:rsidP="00AB6071">
      <w:pPr>
        <w:pStyle w:val="ListParagraph"/>
        <w:numPr>
          <w:ilvl w:val="0"/>
          <w:numId w:val="5"/>
        </w:numPr>
        <w:spacing w:line="288" w:lineRule="auto"/>
        <w:rPr>
          <w:rFonts w:ascii="Arial" w:hAnsi="Arial" w:cs="Arial"/>
          <w:sz w:val="20"/>
        </w:rPr>
      </w:pPr>
      <w:r w:rsidRPr="00AB6071">
        <w:rPr>
          <w:rFonts w:ascii="Arial" w:hAnsi="Arial" w:cs="Arial"/>
          <w:sz w:val="20"/>
        </w:rPr>
        <w:t>Fees</w:t>
      </w:r>
      <w:r w:rsidR="004553FA">
        <w:rPr>
          <w:rFonts w:ascii="Arial" w:hAnsi="Arial" w:cs="Arial"/>
          <w:sz w:val="20"/>
        </w:rPr>
        <w:t>.</w:t>
      </w:r>
    </w:p>
    <w:p w14:paraId="5158B5D8" w14:textId="77777777" w:rsidR="006E4DDC" w:rsidRPr="00AB6071" w:rsidRDefault="006E4DDC" w:rsidP="00AB6071">
      <w:pPr>
        <w:tabs>
          <w:tab w:val="left" w:pos="2430"/>
        </w:tabs>
        <w:spacing w:line="288" w:lineRule="auto"/>
        <w:rPr>
          <w:rFonts w:ascii="Arial" w:hAnsi="Arial" w:cs="Arial"/>
          <w:b/>
          <w:sz w:val="20"/>
        </w:rPr>
      </w:pPr>
    </w:p>
    <w:p w14:paraId="12218826" w14:textId="372DFF8B" w:rsidR="00250D15" w:rsidRPr="00AB6071" w:rsidRDefault="006E4DDC" w:rsidP="00AB6071">
      <w:pPr>
        <w:tabs>
          <w:tab w:val="left" w:pos="2430"/>
        </w:tabs>
        <w:spacing w:line="288" w:lineRule="auto"/>
        <w:rPr>
          <w:rFonts w:ascii="Arial" w:hAnsi="Arial" w:cs="Arial"/>
          <w:sz w:val="20"/>
        </w:rPr>
      </w:pPr>
      <w:r w:rsidRPr="00AB6071">
        <w:rPr>
          <w:rFonts w:ascii="Arial" w:hAnsi="Arial" w:cs="Arial"/>
          <w:sz w:val="20"/>
        </w:rPr>
        <w:lastRenderedPageBreak/>
        <w:t>As part of such due diligence assessment, the fund manager of each Regulated Fund will also be assessed and monitored on an ongoing basis by reviewing senior/key investment management staff, operational structure within the business as well as adherence to stated investment style and processes.</w:t>
      </w:r>
    </w:p>
    <w:p w14:paraId="6EF0CA84" w14:textId="77777777" w:rsidR="00E528FD" w:rsidRDefault="00E528FD" w:rsidP="00AB6071">
      <w:pPr>
        <w:widowControl w:val="0"/>
        <w:spacing w:line="288" w:lineRule="auto"/>
        <w:rPr>
          <w:rFonts w:ascii="Arial" w:hAnsi="Arial" w:cs="Arial"/>
          <w:sz w:val="20"/>
        </w:rPr>
      </w:pPr>
    </w:p>
    <w:p w14:paraId="32BE4503" w14:textId="4519EC3D" w:rsidR="00D42766" w:rsidRPr="00AB6071" w:rsidRDefault="00D42766" w:rsidP="00AB6071">
      <w:pPr>
        <w:widowControl w:val="0"/>
        <w:spacing w:line="288" w:lineRule="auto"/>
        <w:rPr>
          <w:rFonts w:ascii="Arial" w:hAnsi="Arial" w:cs="Arial"/>
          <w:sz w:val="20"/>
        </w:rPr>
      </w:pPr>
      <w:r w:rsidRPr="00AB6071">
        <w:rPr>
          <w:rFonts w:ascii="Arial" w:hAnsi="Arial" w:cs="Arial"/>
          <w:sz w:val="20"/>
        </w:rPr>
        <w:t>Underlying Regulated Funds are monitored using the Eagle investment system (developed by the Bank of New York Mellon Corporation), with daily exposures and performances calculated for such underlying funds. The Fund may invest in an Regulated Fund to obtain equity exposure, or gain the equity exposure directly through holding physical assets. These decisions will be driven, for example, by the costs of holding a large portfolio of stocks and the costs involved in holding another fund, the exposures available, the required exposures, liquidity, etc.</w:t>
      </w:r>
    </w:p>
    <w:p w14:paraId="4FBCBB6F" w14:textId="77777777" w:rsidR="00754505" w:rsidRPr="00AB6071" w:rsidRDefault="00754505" w:rsidP="00AB6071">
      <w:pPr>
        <w:tabs>
          <w:tab w:val="left" w:pos="2430"/>
        </w:tabs>
        <w:spacing w:line="288" w:lineRule="auto"/>
        <w:rPr>
          <w:rFonts w:ascii="Arial" w:hAnsi="Arial" w:cs="Arial"/>
          <w:sz w:val="20"/>
        </w:rPr>
      </w:pPr>
    </w:p>
    <w:p w14:paraId="0F187B52" w14:textId="209D5E16" w:rsidR="00157BF5" w:rsidRPr="00AB6071" w:rsidRDefault="00157BF5" w:rsidP="00AB607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AB6071">
        <w:rPr>
          <w:rFonts w:ascii="Arial" w:eastAsiaTheme="minorHAnsi" w:hAnsi="Arial" w:cs="Arial"/>
          <w:bCs/>
          <w:sz w:val="20"/>
          <w:lang w:val="en-IE"/>
        </w:rPr>
        <w:t xml:space="preserve">The Fund is considered to be actively managed in reference to the </w:t>
      </w:r>
      <w:r w:rsidR="00B634B2" w:rsidRPr="00AB6071">
        <w:rPr>
          <w:rFonts w:ascii="Arial" w:eastAsiaTheme="minorHAnsi" w:hAnsi="Arial" w:cs="Arial"/>
          <w:bCs/>
          <w:sz w:val="20"/>
          <w:lang w:val="en-IE"/>
        </w:rPr>
        <w:t>Benchmark</w:t>
      </w:r>
      <w:r w:rsidRPr="00AB6071">
        <w:rPr>
          <w:rFonts w:ascii="Arial" w:eastAsiaTheme="minorHAnsi" w:hAnsi="Arial" w:cs="Arial"/>
          <w:bCs/>
          <w:sz w:val="20"/>
          <w:lang w:val="en-IE"/>
        </w:rPr>
        <w:t xml:space="preserve"> by virtue of the fact that it seeks to outperform the </w:t>
      </w:r>
      <w:r w:rsidR="00B634B2" w:rsidRPr="00AB6071">
        <w:rPr>
          <w:rFonts w:ascii="Arial" w:eastAsiaTheme="minorHAnsi" w:hAnsi="Arial" w:cs="Arial"/>
          <w:bCs/>
          <w:sz w:val="20"/>
          <w:lang w:val="en-IE"/>
        </w:rPr>
        <w:t>Benchmark</w:t>
      </w:r>
      <w:r w:rsidRPr="00AB6071">
        <w:rPr>
          <w:rFonts w:ascii="Arial" w:eastAsiaTheme="minorHAnsi" w:hAnsi="Arial" w:cs="Arial"/>
          <w:bCs/>
          <w:sz w:val="20"/>
          <w:lang w:val="en-IE"/>
        </w:rPr>
        <w:t xml:space="preserve"> and it uses the </w:t>
      </w:r>
      <w:r w:rsidR="00B634B2" w:rsidRPr="00AB6071">
        <w:rPr>
          <w:rFonts w:ascii="Arial" w:eastAsiaTheme="minorHAnsi" w:hAnsi="Arial" w:cs="Arial"/>
          <w:bCs/>
          <w:sz w:val="20"/>
          <w:lang w:val="en-IE"/>
        </w:rPr>
        <w:t>Benchmark</w:t>
      </w:r>
      <w:r w:rsidRPr="00AB6071">
        <w:rPr>
          <w:rFonts w:ascii="Arial" w:eastAsiaTheme="minorHAnsi" w:hAnsi="Arial" w:cs="Arial"/>
          <w:bCs/>
          <w:sz w:val="20"/>
          <w:lang w:val="en-IE"/>
        </w:rPr>
        <w:t xml:space="preserve"> as a universe from which to select securities (while at the same time seeking enhancement opportunit</w:t>
      </w:r>
      <w:r w:rsidR="006751DB">
        <w:rPr>
          <w:rFonts w:ascii="Arial" w:eastAsiaTheme="minorHAnsi" w:hAnsi="Arial" w:cs="Arial"/>
          <w:bCs/>
          <w:sz w:val="20"/>
          <w:lang w:val="en-IE"/>
        </w:rPr>
        <w:t>i</w:t>
      </w:r>
      <w:r w:rsidRPr="00AB6071">
        <w:rPr>
          <w:rFonts w:ascii="Arial" w:eastAsiaTheme="minorHAnsi" w:hAnsi="Arial" w:cs="Arial"/>
          <w:bCs/>
          <w:sz w:val="20"/>
          <w:lang w:val="en-IE"/>
        </w:rPr>
        <w:t xml:space="preserve">es). The majority of the Fund’s securities may be components of and may have similar weightings to the </w:t>
      </w:r>
      <w:r w:rsidR="00B634B2" w:rsidRPr="00AB6071">
        <w:rPr>
          <w:rFonts w:ascii="Arial" w:eastAsiaTheme="minorHAnsi" w:hAnsi="Arial" w:cs="Arial"/>
          <w:bCs/>
          <w:sz w:val="20"/>
          <w:lang w:val="en-IE"/>
        </w:rPr>
        <w:t>Benchmark</w:t>
      </w:r>
      <w:r w:rsidRPr="00AB6071">
        <w:rPr>
          <w:rFonts w:ascii="Arial" w:eastAsiaTheme="minorHAnsi" w:hAnsi="Arial" w:cs="Arial"/>
          <w:bCs/>
          <w:sz w:val="20"/>
          <w:lang w:val="en-IE"/>
        </w:rPr>
        <w:t>, however, the Investment Manager will use its discretion to invest in securities or sectors</w:t>
      </w:r>
      <w:r w:rsidR="006006C8" w:rsidRPr="00AB6071">
        <w:rPr>
          <w:rFonts w:ascii="Arial" w:eastAsiaTheme="minorHAnsi" w:hAnsi="Arial" w:cs="Arial"/>
          <w:bCs/>
          <w:sz w:val="20"/>
          <w:lang w:val="en-IE"/>
        </w:rPr>
        <w:t xml:space="preserve">, including through the use of financial derivative instruments, </w:t>
      </w:r>
      <w:r w:rsidRPr="00AB6071">
        <w:rPr>
          <w:rFonts w:ascii="Arial" w:eastAsiaTheme="minorHAnsi" w:hAnsi="Arial" w:cs="Arial"/>
          <w:bCs/>
          <w:sz w:val="20"/>
          <w:lang w:val="en-IE"/>
        </w:rPr>
        <w:t xml:space="preserve">in order to take advantage of </w:t>
      </w:r>
      <w:r w:rsidR="00577FD7" w:rsidRPr="00AB6071">
        <w:rPr>
          <w:rFonts w:ascii="Arial" w:eastAsiaTheme="minorHAnsi" w:hAnsi="Arial" w:cs="Arial"/>
          <w:bCs/>
          <w:sz w:val="20"/>
          <w:lang w:val="en-IE"/>
        </w:rPr>
        <w:t xml:space="preserve">specific </w:t>
      </w:r>
      <w:r w:rsidRPr="00AB6071">
        <w:rPr>
          <w:rFonts w:ascii="Arial" w:eastAsiaTheme="minorHAnsi" w:hAnsi="Arial" w:cs="Arial"/>
          <w:bCs/>
          <w:sz w:val="20"/>
          <w:lang w:val="en-IE"/>
        </w:rPr>
        <w:t xml:space="preserve">investment opportunities. The investment strategy will restrict the extent to which the Fund’s </w:t>
      </w:r>
      <w:r w:rsidR="00C03BCB" w:rsidRPr="00AB6071">
        <w:rPr>
          <w:rFonts w:ascii="Arial" w:eastAsiaTheme="minorHAnsi" w:hAnsi="Arial" w:cs="Arial"/>
          <w:bCs/>
          <w:sz w:val="20"/>
          <w:lang w:val="en-IE"/>
        </w:rPr>
        <w:t xml:space="preserve">exposure </w:t>
      </w:r>
      <w:r w:rsidRPr="00AB6071">
        <w:rPr>
          <w:rFonts w:ascii="Arial" w:eastAsiaTheme="minorHAnsi" w:hAnsi="Arial" w:cs="Arial"/>
          <w:bCs/>
          <w:sz w:val="20"/>
          <w:lang w:val="en-IE"/>
        </w:rPr>
        <w:t xml:space="preserve">may deviate from the </w:t>
      </w:r>
      <w:r w:rsidR="00B634B2" w:rsidRPr="00AB6071">
        <w:rPr>
          <w:rFonts w:ascii="Arial" w:eastAsiaTheme="minorHAnsi" w:hAnsi="Arial" w:cs="Arial"/>
          <w:bCs/>
          <w:sz w:val="20"/>
          <w:lang w:val="en-IE"/>
        </w:rPr>
        <w:t>Benchmark</w:t>
      </w:r>
      <w:r w:rsidRPr="00AB6071">
        <w:rPr>
          <w:rFonts w:ascii="Arial" w:eastAsiaTheme="minorHAnsi" w:hAnsi="Arial" w:cs="Arial"/>
          <w:bCs/>
          <w:sz w:val="20"/>
          <w:lang w:val="en-IE"/>
        </w:rPr>
        <w:t>.</w:t>
      </w:r>
      <w:r w:rsidR="00AD43C8" w:rsidRPr="00AB6071">
        <w:rPr>
          <w:rFonts w:ascii="Arial" w:eastAsiaTheme="minorHAnsi" w:hAnsi="Arial" w:cs="Arial"/>
          <w:bCs/>
          <w:sz w:val="20"/>
          <w:lang w:val="en-IE"/>
        </w:rPr>
        <w:t xml:space="preserve"> </w:t>
      </w:r>
      <w:r w:rsidRPr="00AB6071">
        <w:rPr>
          <w:rFonts w:ascii="Arial" w:eastAsiaTheme="minorHAnsi" w:hAnsi="Arial" w:cs="Arial"/>
          <w:bCs/>
          <w:sz w:val="20"/>
          <w:lang w:val="en-IE"/>
        </w:rPr>
        <w:t xml:space="preserve">This is likely to influence the extent to which the Fund can outperform the </w:t>
      </w:r>
      <w:r w:rsidR="00B634B2" w:rsidRPr="00AB6071">
        <w:rPr>
          <w:rFonts w:ascii="Arial" w:eastAsiaTheme="minorHAnsi" w:hAnsi="Arial" w:cs="Arial"/>
          <w:bCs/>
          <w:sz w:val="20"/>
          <w:lang w:val="en-IE"/>
        </w:rPr>
        <w:t>Benchmark</w:t>
      </w:r>
      <w:r w:rsidRPr="00AB6071">
        <w:rPr>
          <w:rFonts w:ascii="Arial" w:eastAsiaTheme="minorHAnsi" w:hAnsi="Arial" w:cs="Arial"/>
          <w:bCs/>
          <w:sz w:val="20"/>
          <w:lang w:val="en-IE"/>
        </w:rPr>
        <w:t xml:space="preserve">. For the avoidance of doubt, the Fund does not track the </w:t>
      </w:r>
      <w:r w:rsidR="00B634B2" w:rsidRPr="00AB6071">
        <w:rPr>
          <w:rFonts w:ascii="Arial" w:eastAsiaTheme="minorHAnsi" w:hAnsi="Arial" w:cs="Arial"/>
          <w:bCs/>
          <w:sz w:val="20"/>
          <w:lang w:val="en-IE"/>
        </w:rPr>
        <w:t>Benchmark</w:t>
      </w:r>
      <w:r w:rsidR="005A3F6F" w:rsidRPr="00AB6071">
        <w:rPr>
          <w:rFonts w:ascii="Arial" w:eastAsiaTheme="minorHAnsi" w:hAnsi="Arial" w:cs="Arial"/>
          <w:bCs/>
          <w:sz w:val="20"/>
          <w:lang w:val="en-IE"/>
        </w:rPr>
        <w:t xml:space="preserve"> but </w:t>
      </w:r>
      <w:r w:rsidR="00FE277C" w:rsidRPr="00AB6071">
        <w:rPr>
          <w:rFonts w:ascii="Arial" w:eastAsiaTheme="minorHAnsi" w:hAnsi="Arial" w:cs="Arial"/>
          <w:bCs/>
          <w:sz w:val="20"/>
          <w:lang w:val="en-IE"/>
        </w:rPr>
        <w:t>tracking</w:t>
      </w:r>
      <w:r w:rsidR="005A3F6F" w:rsidRPr="00AB6071">
        <w:rPr>
          <w:rFonts w:ascii="Arial" w:eastAsiaTheme="minorHAnsi" w:hAnsi="Arial" w:cs="Arial"/>
          <w:bCs/>
          <w:sz w:val="20"/>
          <w:lang w:val="en-IE"/>
        </w:rPr>
        <w:t xml:space="preserve"> error relative to the </w:t>
      </w:r>
      <w:r w:rsidR="00B634B2" w:rsidRPr="00AB6071">
        <w:rPr>
          <w:rFonts w:ascii="Arial" w:eastAsiaTheme="minorHAnsi" w:hAnsi="Arial" w:cs="Arial"/>
          <w:bCs/>
          <w:sz w:val="20"/>
          <w:lang w:val="en-IE"/>
        </w:rPr>
        <w:t>Benchmark</w:t>
      </w:r>
      <w:r w:rsidR="005A3F6F" w:rsidRPr="00AB6071">
        <w:rPr>
          <w:rFonts w:ascii="Arial" w:eastAsiaTheme="minorHAnsi" w:hAnsi="Arial" w:cs="Arial"/>
          <w:bCs/>
          <w:sz w:val="20"/>
          <w:lang w:val="en-IE"/>
        </w:rPr>
        <w:t xml:space="preserve"> is tightly managed</w:t>
      </w:r>
      <w:r w:rsidRPr="00AB6071">
        <w:rPr>
          <w:rFonts w:ascii="Arial" w:eastAsiaTheme="minorHAnsi" w:hAnsi="Arial" w:cs="Arial"/>
          <w:bCs/>
          <w:sz w:val="20"/>
          <w:lang w:val="en-IE"/>
        </w:rPr>
        <w:t xml:space="preserve">. </w:t>
      </w:r>
      <w:r w:rsidR="00AD43C8" w:rsidRPr="00AB6071">
        <w:rPr>
          <w:rFonts w:ascii="Arial" w:eastAsiaTheme="minorHAnsi" w:hAnsi="Arial" w:cs="Arial"/>
          <w:bCs/>
          <w:sz w:val="20"/>
          <w:lang w:val="en-IE"/>
        </w:rPr>
        <w:t xml:space="preserve">Deviation from the </w:t>
      </w:r>
      <w:r w:rsidR="00B634B2" w:rsidRPr="00AB6071">
        <w:rPr>
          <w:rFonts w:ascii="Arial" w:eastAsiaTheme="minorHAnsi" w:hAnsi="Arial" w:cs="Arial"/>
          <w:bCs/>
          <w:sz w:val="20"/>
          <w:lang w:val="en-IE"/>
        </w:rPr>
        <w:t>Benchmark</w:t>
      </w:r>
      <w:r w:rsidR="00AD43C8" w:rsidRPr="00AB6071">
        <w:rPr>
          <w:rFonts w:ascii="Arial" w:eastAsiaTheme="minorHAnsi" w:hAnsi="Arial" w:cs="Arial"/>
          <w:bCs/>
          <w:sz w:val="20"/>
          <w:lang w:val="en-IE"/>
        </w:rPr>
        <w:t xml:space="preserve"> is expected to be limited by a target tracking error of 1% which is used to measure the volatility of the difference between the return of the Fund and the return of the </w:t>
      </w:r>
      <w:r w:rsidR="00B634B2" w:rsidRPr="00AB6071">
        <w:rPr>
          <w:rFonts w:ascii="Arial" w:eastAsiaTheme="minorHAnsi" w:hAnsi="Arial" w:cs="Arial"/>
          <w:bCs/>
          <w:sz w:val="20"/>
          <w:lang w:val="en-IE"/>
        </w:rPr>
        <w:t>Benchmark</w:t>
      </w:r>
      <w:r w:rsidR="00AD43C8" w:rsidRPr="00AB6071">
        <w:rPr>
          <w:rFonts w:ascii="Arial" w:eastAsiaTheme="minorHAnsi" w:hAnsi="Arial" w:cs="Arial"/>
          <w:bCs/>
          <w:sz w:val="20"/>
          <w:lang w:val="en-IE"/>
        </w:rPr>
        <w:t xml:space="preserve">.  </w:t>
      </w:r>
      <w:r w:rsidR="00D56289" w:rsidRPr="00AB6071">
        <w:rPr>
          <w:rFonts w:ascii="Arial" w:eastAsiaTheme="minorHAnsi" w:hAnsi="Arial" w:cs="Arial"/>
          <w:bCs/>
          <w:sz w:val="20"/>
          <w:lang w:val="en-IE"/>
        </w:rPr>
        <w:t xml:space="preserve">Such tracking error may arise due to </w:t>
      </w:r>
      <w:r w:rsidR="00D56289" w:rsidRPr="00AB6071">
        <w:rPr>
          <w:rFonts w:ascii="Arial" w:hAnsi="Arial" w:cs="Arial"/>
          <w:color w:val="000000" w:themeColor="text1"/>
          <w:sz w:val="20"/>
        </w:rPr>
        <w:t xml:space="preserve">timing differences in pricing between that of the Benchmark versus that of the underlying instruments held, or due to differences in the yield earned on collateral assets held versus </w:t>
      </w:r>
      <w:r w:rsidR="00980B38" w:rsidRPr="00AB6071">
        <w:rPr>
          <w:rFonts w:ascii="Arial" w:hAnsi="Arial" w:cs="Arial"/>
          <w:color w:val="000000" w:themeColor="text1"/>
          <w:sz w:val="20"/>
        </w:rPr>
        <w:t>funding</w:t>
      </w:r>
      <w:r w:rsidR="007F6129" w:rsidRPr="00AB6071">
        <w:rPr>
          <w:rFonts w:ascii="Arial" w:hAnsi="Arial" w:cs="Arial"/>
          <w:color w:val="000000" w:themeColor="text1"/>
          <w:sz w:val="20"/>
        </w:rPr>
        <w:t xml:space="preserve"> </w:t>
      </w:r>
      <w:r w:rsidR="00D56289" w:rsidRPr="00AB6071">
        <w:rPr>
          <w:rFonts w:ascii="Arial" w:hAnsi="Arial" w:cs="Arial"/>
          <w:color w:val="000000" w:themeColor="text1"/>
          <w:sz w:val="20"/>
        </w:rPr>
        <w:t xml:space="preserve">cost priced into </w:t>
      </w:r>
      <w:r w:rsidR="006006C8" w:rsidRPr="00AB6071">
        <w:rPr>
          <w:rFonts w:ascii="Arial" w:hAnsi="Arial" w:cs="Arial"/>
          <w:color w:val="000000" w:themeColor="text1"/>
          <w:sz w:val="20"/>
        </w:rPr>
        <w:t xml:space="preserve">financial </w:t>
      </w:r>
      <w:r w:rsidR="00D56289" w:rsidRPr="00AB6071">
        <w:rPr>
          <w:rFonts w:ascii="Arial" w:hAnsi="Arial" w:cs="Arial"/>
          <w:color w:val="000000" w:themeColor="text1"/>
          <w:sz w:val="20"/>
        </w:rPr>
        <w:t>derivative contracts.</w:t>
      </w:r>
    </w:p>
    <w:p w14:paraId="1837EA8F" w14:textId="77777777" w:rsidR="005D46D9" w:rsidRPr="00AB6071" w:rsidRDefault="005D46D9" w:rsidP="00AB607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b/>
          <w:sz w:val="20"/>
        </w:rPr>
      </w:pPr>
    </w:p>
    <w:p w14:paraId="3762DB25" w14:textId="67D01B49" w:rsidR="00250D15" w:rsidRPr="002F14EF" w:rsidRDefault="00250D15" w:rsidP="00AB607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b/>
          <w:sz w:val="20"/>
        </w:rPr>
      </w:pPr>
      <w:r w:rsidRPr="00AB6071">
        <w:rPr>
          <w:rFonts w:ascii="Arial" w:hAnsi="Arial" w:cs="Arial"/>
          <w:b/>
          <w:sz w:val="20"/>
        </w:rPr>
        <w:t xml:space="preserve">Derivative Trading and Efficient Portfolio </w:t>
      </w:r>
      <w:r w:rsidRPr="002F14EF">
        <w:rPr>
          <w:rFonts w:ascii="Arial" w:hAnsi="Arial" w:cs="Arial"/>
          <w:b/>
          <w:sz w:val="20"/>
        </w:rPr>
        <w:t>Managemen</w:t>
      </w:r>
      <w:r w:rsidR="006751DB" w:rsidRPr="002F14EF">
        <w:rPr>
          <w:rFonts w:ascii="Arial" w:hAnsi="Arial" w:cs="Arial"/>
          <w:b/>
          <w:sz w:val="20"/>
        </w:rPr>
        <w:t>t</w:t>
      </w:r>
    </w:p>
    <w:p w14:paraId="667DDACE" w14:textId="77777777" w:rsidR="00250D15" w:rsidRPr="002F14EF" w:rsidRDefault="00250D15" w:rsidP="00AB607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b/>
          <w:sz w:val="20"/>
        </w:rPr>
      </w:pPr>
    </w:p>
    <w:p w14:paraId="053FEBCE" w14:textId="254746FE" w:rsidR="00250D15" w:rsidRPr="002F14EF" w:rsidRDefault="00250D15" w:rsidP="00AB607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r w:rsidRPr="002F14EF">
        <w:rPr>
          <w:rFonts w:ascii="Arial" w:eastAsia="MS Mincho" w:hAnsi="Arial" w:cs="Arial"/>
          <w:sz w:val="20"/>
        </w:rPr>
        <w:t xml:space="preserve">The Fund may </w:t>
      </w:r>
      <w:bookmarkStart w:id="17" w:name="_DV_C33"/>
      <w:r w:rsidRPr="002F14EF">
        <w:rPr>
          <w:rFonts w:ascii="Arial" w:eastAsia="MS Mincho" w:hAnsi="Arial" w:cs="Arial"/>
          <w:sz w:val="20"/>
        </w:rPr>
        <w:t>use</w:t>
      </w:r>
      <w:bookmarkStart w:id="18" w:name="_DV_M1132"/>
      <w:bookmarkEnd w:id="17"/>
      <w:bookmarkEnd w:id="18"/>
      <w:r w:rsidRPr="002F14EF">
        <w:rPr>
          <w:rFonts w:ascii="Arial" w:eastAsia="MS Mincho" w:hAnsi="Arial" w:cs="Arial"/>
          <w:sz w:val="20"/>
        </w:rPr>
        <w:t xml:space="preserve"> </w:t>
      </w:r>
      <w:r w:rsidRPr="002F14EF">
        <w:rPr>
          <w:rFonts w:ascii="Arial" w:hAnsi="Arial" w:cs="Arial"/>
          <w:sz w:val="20"/>
        </w:rPr>
        <w:t>financial derivative instruments</w:t>
      </w:r>
      <w:r w:rsidRPr="002F14EF">
        <w:rPr>
          <w:rFonts w:ascii="Arial" w:eastAsia="MS Mincho" w:hAnsi="Arial" w:cs="Arial"/>
          <w:sz w:val="20"/>
        </w:rPr>
        <w:t xml:space="preserve"> </w:t>
      </w:r>
      <w:r w:rsidR="00C07B8C" w:rsidRPr="002F14EF">
        <w:rPr>
          <w:rFonts w:ascii="Arial" w:eastAsia="MS Mincho" w:hAnsi="Arial" w:cs="Arial"/>
          <w:sz w:val="20"/>
        </w:rPr>
        <w:t>for efficient portfolio management</w:t>
      </w:r>
      <w:bookmarkStart w:id="19" w:name="_DV_M1134"/>
      <w:bookmarkEnd w:id="19"/>
      <w:r w:rsidRPr="002F14EF">
        <w:rPr>
          <w:rFonts w:ascii="Arial" w:eastAsia="MS Mincho" w:hAnsi="Arial" w:cs="Arial"/>
          <w:sz w:val="20"/>
        </w:rPr>
        <w:t>,</w:t>
      </w:r>
      <w:r w:rsidRPr="002F14EF">
        <w:rPr>
          <w:rFonts w:ascii="Arial" w:hAnsi="Arial" w:cs="Arial"/>
          <w:sz w:val="20"/>
        </w:rPr>
        <w:t xml:space="preserve"> subject to the conditions and within the limits from time to time laid down by the Central Bank.</w:t>
      </w:r>
      <w:r w:rsidR="00763563" w:rsidRPr="002F14EF" w:rsidDel="00763563">
        <w:rPr>
          <w:rFonts w:ascii="Arial" w:hAnsi="Arial" w:cs="Arial"/>
          <w:sz w:val="20"/>
        </w:rPr>
        <w:t xml:space="preserve"> </w:t>
      </w:r>
    </w:p>
    <w:p w14:paraId="0045DE95" w14:textId="77777777" w:rsidR="00250D15" w:rsidRPr="002F14EF" w:rsidRDefault="00250D15" w:rsidP="00AB607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p>
    <w:p w14:paraId="03B518DC" w14:textId="77777777" w:rsidR="00944861" w:rsidRPr="002F14EF" w:rsidRDefault="00250D15"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r w:rsidRPr="002F14EF">
        <w:rPr>
          <w:rFonts w:ascii="Arial" w:hAnsi="Arial" w:cs="Arial"/>
          <w:sz w:val="20"/>
        </w:rPr>
        <w:t>The financial derivative instruments used by the Fund will be exchange traded futures</w:t>
      </w:r>
      <w:r w:rsidR="00B93582" w:rsidRPr="002F14EF">
        <w:rPr>
          <w:rFonts w:ascii="Arial" w:hAnsi="Arial" w:cs="Arial"/>
          <w:sz w:val="20"/>
        </w:rPr>
        <w:t xml:space="preserve"> and</w:t>
      </w:r>
      <w:r w:rsidRPr="002F14EF">
        <w:rPr>
          <w:rFonts w:ascii="Arial" w:hAnsi="Arial" w:cs="Arial"/>
          <w:sz w:val="20"/>
        </w:rPr>
        <w:t xml:space="preserve"> swaps</w:t>
      </w:r>
      <w:r w:rsidR="00491282" w:rsidRPr="002F14EF">
        <w:rPr>
          <w:rFonts w:ascii="Arial" w:hAnsi="Arial" w:cs="Arial"/>
          <w:sz w:val="20"/>
        </w:rPr>
        <w:t xml:space="preserve"> as referred to above in the investment policy of the Fund</w:t>
      </w:r>
      <w:r w:rsidRPr="002F14EF">
        <w:rPr>
          <w:rFonts w:ascii="Arial" w:hAnsi="Arial" w:cs="Arial"/>
          <w:sz w:val="20"/>
        </w:rPr>
        <w:t xml:space="preserve">. </w:t>
      </w:r>
      <w:r w:rsidR="00B633F7" w:rsidRPr="002F14EF">
        <w:rPr>
          <w:rFonts w:ascii="Arial" w:hAnsi="Arial" w:cs="Arial"/>
          <w:sz w:val="20"/>
        </w:rPr>
        <w:t xml:space="preserve"> </w:t>
      </w:r>
      <w:r w:rsidRPr="002F14EF">
        <w:rPr>
          <w:rFonts w:ascii="Arial" w:hAnsi="Arial" w:cs="Arial"/>
          <w:sz w:val="20"/>
        </w:rPr>
        <w:t>Financial derivative instruments</w:t>
      </w:r>
      <w:r w:rsidRPr="002F14EF" w:rsidDel="00E44EA3">
        <w:rPr>
          <w:rFonts w:ascii="Arial" w:hAnsi="Arial" w:cs="Arial"/>
          <w:sz w:val="20"/>
        </w:rPr>
        <w:t xml:space="preserve"> </w:t>
      </w:r>
      <w:r w:rsidRPr="002F14EF">
        <w:rPr>
          <w:rFonts w:ascii="Arial" w:hAnsi="Arial" w:cs="Arial"/>
          <w:sz w:val="20"/>
        </w:rPr>
        <w:t xml:space="preserve">may be traded on a Recognised Exchange or over-the-counter (“OTC”). </w:t>
      </w:r>
      <w:r w:rsidR="00944861" w:rsidRPr="002F14EF">
        <w:rPr>
          <w:rFonts w:ascii="Arial" w:hAnsi="Arial" w:cs="Arial"/>
          <w:sz w:val="20"/>
        </w:rPr>
        <w:t xml:space="preserve"> </w:t>
      </w:r>
    </w:p>
    <w:p w14:paraId="253EDA82" w14:textId="77777777" w:rsidR="00944861" w:rsidRPr="002F14EF"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p>
    <w:p w14:paraId="79564201" w14:textId="77777777" w:rsidR="00944861" w:rsidRPr="002F14EF" w:rsidRDefault="00250D15"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i/>
          <w:sz w:val="20"/>
        </w:rPr>
      </w:pPr>
      <w:r w:rsidRPr="002F14EF">
        <w:rPr>
          <w:rFonts w:ascii="Arial" w:hAnsi="Arial" w:cs="Arial"/>
          <w:i/>
          <w:sz w:val="20"/>
        </w:rPr>
        <w:t>Exchange Traded Futures</w:t>
      </w:r>
      <w:r w:rsidR="00944861" w:rsidRPr="002F14EF">
        <w:rPr>
          <w:rFonts w:ascii="Arial" w:hAnsi="Arial" w:cs="Arial"/>
          <w:i/>
          <w:sz w:val="20"/>
        </w:rPr>
        <w:t xml:space="preserve"> </w:t>
      </w:r>
    </w:p>
    <w:p w14:paraId="490BC365" w14:textId="77777777" w:rsidR="00944861" w:rsidRPr="002F14EF"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i/>
          <w:sz w:val="20"/>
        </w:rPr>
      </w:pPr>
    </w:p>
    <w:p w14:paraId="47CCC11B" w14:textId="285E36DD" w:rsidR="00944861" w:rsidRPr="002F14EF" w:rsidRDefault="00250D15"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r w:rsidRPr="002F14EF">
        <w:rPr>
          <w:rFonts w:ascii="Arial" w:hAnsi="Arial" w:cs="Arial"/>
          <w:sz w:val="20"/>
        </w:rPr>
        <w:t>The Fund may use exchange traded futures (which specifically include equity futures</w:t>
      </w:r>
      <w:r w:rsidR="006716C0" w:rsidRPr="002F14EF">
        <w:rPr>
          <w:rFonts w:ascii="Arial" w:hAnsi="Arial" w:cs="Arial"/>
          <w:sz w:val="20"/>
        </w:rPr>
        <w:t xml:space="preserve"> and </w:t>
      </w:r>
      <w:r w:rsidRPr="002F14EF">
        <w:rPr>
          <w:rFonts w:ascii="Arial" w:hAnsi="Arial" w:cs="Arial"/>
          <w:sz w:val="20"/>
        </w:rPr>
        <w:t xml:space="preserve"> equity index futures) </w:t>
      </w:r>
      <w:r w:rsidR="00763563" w:rsidRPr="002F14EF">
        <w:rPr>
          <w:rFonts w:ascii="Arial" w:hAnsi="Arial" w:cs="Arial"/>
          <w:sz w:val="20"/>
        </w:rPr>
        <w:t xml:space="preserve">for </w:t>
      </w:r>
      <w:r w:rsidRPr="002F14EF">
        <w:rPr>
          <w:rFonts w:ascii="Arial" w:hAnsi="Arial" w:cs="Arial"/>
          <w:sz w:val="20"/>
        </w:rPr>
        <w:t>efficient portfolio management purposes.</w:t>
      </w:r>
    </w:p>
    <w:p w14:paraId="37FCECB5" w14:textId="77777777" w:rsidR="00944861" w:rsidRPr="002F14EF"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p>
    <w:p w14:paraId="3C8AEB37" w14:textId="77777777" w:rsidR="00944861" w:rsidRDefault="00250D15"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r w:rsidRPr="002F14EF">
        <w:rPr>
          <w:rFonts w:ascii="Arial" w:hAnsi="Arial" w:cs="Arial"/>
          <w:sz w:val="20"/>
        </w:rPr>
        <w:t>Futures contracts are one of the most common types of financial</w:t>
      </w:r>
      <w:r w:rsidRPr="00AB6071">
        <w:rPr>
          <w:rFonts w:ascii="Arial" w:hAnsi="Arial" w:cs="Arial"/>
          <w:sz w:val="20"/>
        </w:rPr>
        <w:t xml:space="preserve"> derivative instrument. A futures contract is an agreement between two parties for the sale of an asset at an agreed upon price. Futures are similar to forward contracts but are standardised and traded on an exchange, and are valued daily. The daily value provides both parties with an accounting of their financial </w:t>
      </w:r>
      <w:r w:rsidR="00203DF5" w:rsidRPr="00AB6071">
        <w:rPr>
          <w:rFonts w:ascii="Arial" w:hAnsi="Arial" w:cs="Arial"/>
          <w:sz w:val="20"/>
        </w:rPr>
        <w:t>o</w:t>
      </w:r>
      <w:r w:rsidRPr="00AB6071">
        <w:rPr>
          <w:rFonts w:ascii="Arial" w:hAnsi="Arial" w:cs="Arial"/>
          <w:sz w:val="20"/>
        </w:rPr>
        <w:t>bligations under the terms of the future.</w:t>
      </w:r>
      <w:r w:rsidR="00944861">
        <w:rPr>
          <w:rFonts w:ascii="Arial" w:hAnsi="Arial" w:cs="Arial"/>
          <w:sz w:val="20"/>
        </w:rPr>
        <w:t xml:space="preserve"> </w:t>
      </w:r>
    </w:p>
    <w:p w14:paraId="2BF12A7E" w14:textId="77777777" w:rsidR="00944861"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p>
    <w:p w14:paraId="612CFF59" w14:textId="5519F96E" w:rsidR="00944861" w:rsidRPr="00D24980" w:rsidRDefault="00250D15"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r w:rsidRPr="00AB6071">
        <w:rPr>
          <w:rFonts w:ascii="Arial" w:hAnsi="Arial" w:cs="Arial"/>
          <w:i/>
          <w:sz w:val="20"/>
        </w:rPr>
        <w:t>Equity Futures</w:t>
      </w:r>
      <w:r w:rsidRPr="00AB6071">
        <w:rPr>
          <w:rFonts w:ascii="Arial" w:hAnsi="Arial" w:cs="Arial"/>
          <w:sz w:val="20"/>
        </w:rPr>
        <w:t xml:space="preserve">: A futures contract with an underlying of one </w:t>
      </w:r>
      <w:r w:rsidRPr="00D24980">
        <w:rPr>
          <w:rFonts w:ascii="Arial" w:hAnsi="Arial" w:cs="Arial"/>
          <w:sz w:val="20"/>
        </w:rPr>
        <w:t>particular equity. Equity futures may be used</w:t>
      </w:r>
      <w:r w:rsidR="00A954A2" w:rsidRPr="00D24980">
        <w:rPr>
          <w:rFonts w:ascii="Arial" w:hAnsi="Arial" w:cs="Arial"/>
          <w:sz w:val="20"/>
        </w:rPr>
        <w:t xml:space="preserve"> for efficient portfolio management purposes</w:t>
      </w:r>
      <w:r w:rsidRPr="00D24980">
        <w:rPr>
          <w:rFonts w:ascii="Arial" w:hAnsi="Arial" w:cs="Arial"/>
          <w:sz w:val="20"/>
        </w:rPr>
        <w:t>.</w:t>
      </w:r>
    </w:p>
    <w:p w14:paraId="5D09BF0B" w14:textId="77777777" w:rsidR="00944861" w:rsidRPr="00D24980"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p>
    <w:p w14:paraId="1693FA41" w14:textId="6082C27B" w:rsidR="00944861" w:rsidRDefault="00250D15"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r w:rsidRPr="00D24980">
        <w:rPr>
          <w:rFonts w:ascii="Arial" w:hAnsi="Arial" w:cs="Arial"/>
          <w:i/>
          <w:sz w:val="20"/>
        </w:rPr>
        <w:lastRenderedPageBreak/>
        <w:t>Index Futures</w:t>
      </w:r>
      <w:r w:rsidRPr="00D24980">
        <w:rPr>
          <w:rFonts w:ascii="Arial" w:hAnsi="Arial" w:cs="Arial"/>
          <w:sz w:val="20"/>
        </w:rPr>
        <w:t xml:space="preserve">:  An index future is a futures contract, the underlying of which is a particular financial index such as the MSCI World </w:t>
      </w:r>
      <w:r w:rsidR="00291215" w:rsidRPr="00D24980">
        <w:rPr>
          <w:rFonts w:ascii="Arial" w:hAnsi="Arial" w:cs="Arial"/>
          <w:sz w:val="20"/>
        </w:rPr>
        <w:t xml:space="preserve">Total Return </w:t>
      </w:r>
      <w:r w:rsidRPr="00D24980">
        <w:rPr>
          <w:rFonts w:ascii="Arial" w:hAnsi="Arial" w:cs="Arial"/>
          <w:sz w:val="20"/>
        </w:rPr>
        <w:t>Index</w:t>
      </w:r>
      <w:r w:rsidR="006E4B0C" w:rsidRPr="00D24980">
        <w:rPr>
          <w:rFonts w:ascii="Arial" w:hAnsi="Arial" w:cs="Arial"/>
          <w:sz w:val="20"/>
        </w:rPr>
        <w:t xml:space="preserve">. </w:t>
      </w:r>
      <w:r w:rsidRPr="00D24980">
        <w:rPr>
          <w:rFonts w:ascii="Arial" w:hAnsi="Arial" w:cs="Arial"/>
          <w:sz w:val="20"/>
        </w:rPr>
        <w:t>Index futures may be used for efficient portfolio management purposes; for example, index future</w:t>
      </w:r>
      <w:r w:rsidR="00585225" w:rsidRPr="00D24980">
        <w:rPr>
          <w:rFonts w:ascii="Arial" w:hAnsi="Arial" w:cs="Arial"/>
          <w:sz w:val="20"/>
        </w:rPr>
        <w:t>s</w:t>
      </w:r>
      <w:r w:rsidRPr="00D24980">
        <w:rPr>
          <w:rFonts w:ascii="Arial" w:hAnsi="Arial" w:cs="Arial"/>
          <w:sz w:val="20"/>
        </w:rPr>
        <w:t xml:space="preserve"> may be used to manage the</w:t>
      </w:r>
      <w:r w:rsidRPr="00AB6071">
        <w:rPr>
          <w:rFonts w:ascii="Arial" w:hAnsi="Arial" w:cs="Arial"/>
          <w:sz w:val="20"/>
        </w:rPr>
        <w:t xml:space="preserve"> Fund’s market exposure in a more cost effective and efficient manner as futures are often more liquid and cost effective to trade.</w:t>
      </w:r>
      <w:r w:rsidR="0068424D" w:rsidRPr="00AB6071">
        <w:rPr>
          <w:rFonts w:ascii="Arial" w:hAnsi="Arial" w:cs="Arial"/>
          <w:sz w:val="20"/>
        </w:rPr>
        <w:t xml:space="preserve"> </w:t>
      </w:r>
    </w:p>
    <w:p w14:paraId="7B36D7C5" w14:textId="77777777" w:rsidR="00944861"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sz w:val="20"/>
        </w:rPr>
      </w:pPr>
    </w:p>
    <w:p w14:paraId="73247670" w14:textId="77777777" w:rsidR="00944861" w:rsidRDefault="00250D15"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i/>
          <w:iCs/>
          <w:sz w:val="20"/>
          <w:lang w:val="en-IE" w:eastAsia="en-IE"/>
        </w:rPr>
      </w:pPr>
      <w:r w:rsidRPr="00AB6071">
        <w:rPr>
          <w:rFonts w:ascii="Arial" w:hAnsi="Arial" w:cs="Arial"/>
          <w:i/>
          <w:iCs/>
          <w:sz w:val="20"/>
          <w:lang w:val="en-IE" w:eastAsia="en-IE"/>
        </w:rPr>
        <w:t xml:space="preserve">Swaps </w:t>
      </w:r>
    </w:p>
    <w:p w14:paraId="54D8BA24" w14:textId="77777777" w:rsidR="00944861"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hAnsi="Arial" w:cs="Arial"/>
          <w:i/>
          <w:iCs/>
          <w:sz w:val="20"/>
          <w:lang w:val="en-IE" w:eastAsia="en-IE"/>
        </w:rPr>
      </w:pPr>
    </w:p>
    <w:p w14:paraId="35A4F0CB" w14:textId="77777777" w:rsidR="00944861" w:rsidRDefault="00017BFB"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eastAsia="MS Mincho" w:hAnsi="Arial" w:cs="Arial"/>
          <w:snapToGrid w:val="0"/>
          <w:sz w:val="20"/>
        </w:rPr>
      </w:pPr>
      <w:r w:rsidRPr="00AB6071">
        <w:rPr>
          <w:rFonts w:ascii="Arial" w:eastAsia="MS Mincho" w:hAnsi="Arial" w:cs="Arial"/>
          <w:snapToGrid w:val="0"/>
          <w:sz w:val="20"/>
        </w:rPr>
        <w:t>The Fund may also utilise swaps. Swaps are contracts between two parties in the OTC market whereby the parties agree to exchange a series of cash flows based on the value of, or return from, one financial instrument with a series of cash flows based on another financial instrument.</w:t>
      </w:r>
      <w:r w:rsidR="00944861">
        <w:rPr>
          <w:rFonts w:ascii="Arial" w:eastAsia="MS Mincho" w:hAnsi="Arial" w:cs="Arial"/>
          <w:snapToGrid w:val="0"/>
          <w:sz w:val="20"/>
        </w:rPr>
        <w:t xml:space="preserve"> </w:t>
      </w:r>
    </w:p>
    <w:p w14:paraId="061400D0" w14:textId="77777777" w:rsidR="00944861" w:rsidRDefault="00944861"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eastAsia="MS Mincho" w:hAnsi="Arial" w:cs="Arial"/>
          <w:snapToGrid w:val="0"/>
          <w:sz w:val="20"/>
        </w:rPr>
      </w:pPr>
    </w:p>
    <w:p w14:paraId="54A13F15" w14:textId="25FA1568" w:rsidR="00017BFB" w:rsidRPr="00AB6071" w:rsidRDefault="00017BFB" w:rsidP="00944861">
      <w:pPr>
        <w:pBdr>
          <w:top w:val="single" w:sz="6" w:space="1" w:color="FFFFFF"/>
          <w:left w:val="single" w:sz="6" w:space="1" w:color="FFFFFF"/>
          <w:bottom w:val="single" w:sz="6" w:space="4"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contextualSpacing/>
        <w:rPr>
          <w:rFonts w:ascii="Arial" w:eastAsia="MS Mincho" w:hAnsi="Arial" w:cs="Arial"/>
          <w:snapToGrid w:val="0"/>
          <w:sz w:val="20"/>
        </w:rPr>
      </w:pPr>
      <w:r w:rsidRPr="00AB6071">
        <w:rPr>
          <w:rFonts w:ascii="Arial" w:eastAsia="MS Mincho" w:hAnsi="Arial" w:cs="Arial"/>
          <w:snapToGrid w:val="0"/>
          <w:sz w:val="20"/>
        </w:rPr>
        <w:t>The Fund may use equity swaps. An equity swap is a contract between two parties which allows each party to diversify its income while still holding its original assets.  The Fund may exchange a floating rate cash flow against the cash flow on the performance of either a single equity or an equity index.</w:t>
      </w:r>
    </w:p>
    <w:p w14:paraId="7A90E652" w14:textId="1564C1D0" w:rsidR="004553FA" w:rsidRDefault="004553FA" w:rsidP="00AB6071">
      <w:pPr>
        <w:pStyle w:val="CommentText"/>
        <w:spacing w:line="288" w:lineRule="auto"/>
        <w:rPr>
          <w:rFonts w:ascii="Arial" w:hAnsi="Arial" w:cs="Arial"/>
        </w:rPr>
      </w:pPr>
    </w:p>
    <w:p w14:paraId="1B77B61D" w14:textId="77777777" w:rsidR="00C51AAD" w:rsidRPr="00D90B79" w:rsidRDefault="00C51AAD" w:rsidP="00D90B79">
      <w:pPr>
        <w:pStyle w:val="CommentText"/>
        <w:spacing w:line="288" w:lineRule="auto"/>
        <w:rPr>
          <w:rFonts w:ascii="Arial" w:hAnsi="Arial"/>
          <w:i/>
        </w:rPr>
      </w:pPr>
      <w:r w:rsidRPr="00D90B79">
        <w:rPr>
          <w:rFonts w:ascii="Arial" w:hAnsi="Arial"/>
          <w:i/>
        </w:rPr>
        <w:t>Counterparties to Over-The-Counter (OTC) FDIs</w:t>
      </w:r>
    </w:p>
    <w:p w14:paraId="5A923DCA" w14:textId="77777777" w:rsidR="00C51AAD" w:rsidRPr="00D90B79" w:rsidRDefault="00C51AAD" w:rsidP="00D90B79">
      <w:pPr>
        <w:pStyle w:val="CommentText"/>
        <w:spacing w:line="288" w:lineRule="auto"/>
        <w:rPr>
          <w:rFonts w:ascii="Arial" w:hAnsi="Arial"/>
        </w:rPr>
      </w:pPr>
    </w:p>
    <w:p w14:paraId="3759649F" w14:textId="77777777" w:rsidR="00C51AAD" w:rsidRPr="00382E5F" w:rsidRDefault="00C51AAD" w:rsidP="00D90B79">
      <w:pPr>
        <w:pStyle w:val="CommentText"/>
        <w:spacing w:line="288" w:lineRule="auto"/>
        <w:rPr>
          <w:rFonts w:ascii="Arial" w:hAnsi="Arial"/>
        </w:rPr>
      </w:pPr>
      <w:r w:rsidRPr="00881A0A">
        <w:rPr>
          <w:rFonts w:ascii="Arial" w:hAnsi="Arial"/>
        </w:rPr>
        <w:t>Counterparties to OTC FDIs that the Fund may enter into will be counterparties authorised in accordance with the process set forth in the section to Appendix III of the Prospectus entitled “</w:t>
      </w:r>
      <w:r w:rsidRPr="00D90B79">
        <w:rPr>
          <w:rFonts w:ascii="Arial" w:hAnsi="Arial"/>
        </w:rPr>
        <w:t>Eligible Counterparties</w:t>
      </w:r>
      <w:r w:rsidRPr="00881A0A">
        <w:rPr>
          <w:rFonts w:ascii="Arial" w:hAnsi="Arial"/>
        </w:rPr>
        <w:t>”. The Fund will only enter into OTC FDIs on behalf of the Fund with counterparties which are subj</w:t>
      </w:r>
      <w:r w:rsidRPr="00382E5F">
        <w:rPr>
          <w:rFonts w:ascii="Arial" w:hAnsi="Arial"/>
        </w:rPr>
        <w:t>ect to prudential supervision and are within categories approved by the Central Bank or otherwise provided for in the Prospectus. It is not possible to comprehensively list in this Supplement all of the counterparties as they may change from time to time. Information on the counterparties to OTC FDIs will be detailed in the annual financial statements of the ICAV.</w:t>
      </w:r>
    </w:p>
    <w:p w14:paraId="7B75F35C" w14:textId="77777777" w:rsidR="00C51AAD" w:rsidRPr="00382E5F" w:rsidRDefault="00C51AAD" w:rsidP="00D90B79">
      <w:pPr>
        <w:pStyle w:val="CommentText"/>
        <w:spacing w:line="288" w:lineRule="auto"/>
        <w:rPr>
          <w:rFonts w:ascii="Arial" w:hAnsi="Arial"/>
        </w:rPr>
      </w:pPr>
    </w:p>
    <w:p w14:paraId="556BF60B" w14:textId="77061B30" w:rsidR="00C51AAD" w:rsidRDefault="00C51AAD" w:rsidP="00C51AAD">
      <w:pPr>
        <w:pStyle w:val="CommentText"/>
        <w:spacing w:line="288" w:lineRule="auto"/>
        <w:rPr>
          <w:rFonts w:ascii="Arial" w:hAnsi="Arial" w:cs="Arial"/>
        </w:rPr>
      </w:pPr>
      <w:r w:rsidRPr="00D90B79">
        <w:rPr>
          <w:rFonts w:ascii="Arial" w:hAnsi="Arial"/>
        </w:rPr>
        <w:t>The use of derivatives entails certain risks to the Fund including those set out under the heading “Risk Factors” in the Prospectus.</w:t>
      </w:r>
    </w:p>
    <w:p w14:paraId="004BAF17" w14:textId="77777777" w:rsidR="00C51AAD" w:rsidRDefault="00C51AAD" w:rsidP="00AB6071">
      <w:pPr>
        <w:pStyle w:val="CommentText"/>
        <w:spacing w:line="288" w:lineRule="auto"/>
        <w:rPr>
          <w:rFonts w:ascii="Arial" w:hAnsi="Arial" w:cs="Arial"/>
          <w:b/>
        </w:rPr>
      </w:pPr>
    </w:p>
    <w:p w14:paraId="7301BD3B" w14:textId="67714AB3" w:rsidR="00A954A2" w:rsidRDefault="00A954A2" w:rsidP="00AB6071">
      <w:pPr>
        <w:pStyle w:val="CommentText"/>
        <w:spacing w:line="288" w:lineRule="auto"/>
        <w:rPr>
          <w:rFonts w:ascii="Arial" w:hAnsi="Arial" w:cs="Arial"/>
          <w:b/>
        </w:rPr>
      </w:pPr>
      <w:r w:rsidRPr="00A954A2">
        <w:rPr>
          <w:rFonts w:ascii="Arial" w:hAnsi="Arial" w:cs="Arial"/>
          <w:b/>
        </w:rPr>
        <w:t>The Benchmark</w:t>
      </w:r>
    </w:p>
    <w:p w14:paraId="65DF4B12" w14:textId="77777777" w:rsidR="003F461C" w:rsidRPr="00A954A2" w:rsidRDefault="003F461C" w:rsidP="00AB6071">
      <w:pPr>
        <w:pStyle w:val="CommentText"/>
        <w:spacing w:line="288" w:lineRule="auto"/>
        <w:rPr>
          <w:rFonts w:ascii="Arial" w:hAnsi="Arial" w:cs="Arial"/>
          <w:b/>
        </w:rPr>
      </w:pPr>
    </w:p>
    <w:p w14:paraId="04CC3BE6" w14:textId="2BAA36F8" w:rsidR="00F51722" w:rsidRDefault="00250D15" w:rsidP="00A954A2">
      <w:pPr>
        <w:pStyle w:val="CommentText"/>
        <w:spacing w:line="288" w:lineRule="auto"/>
        <w:rPr>
          <w:rFonts w:ascii="Arial" w:hAnsi="Arial" w:cs="Arial"/>
        </w:rPr>
      </w:pPr>
      <w:r w:rsidRPr="00AB6071">
        <w:rPr>
          <w:rFonts w:ascii="Arial" w:hAnsi="Arial" w:cs="Arial"/>
        </w:rPr>
        <w:t>The MSCI World</w:t>
      </w:r>
      <w:r w:rsidR="00155DA4" w:rsidRPr="00AB6071">
        <w:rPr>
          <w:rFonts w:ascii="Arial" w:hAnsi="Arial" w:cs="Arial"/>
        </w:rPr>
        <w:t xml:space="preserve"> Total Return Index </w:t>
      </w:r>
      <w:r w:rsidRPr="00AB6071">
        <w:rPr>
          <w:rFonts w:ascii="Arial" w:hAnsi="Arial" w:cs="Arial"/>
        </w:rPr>
        <w:t> is a market cap weighted stock market index comprising 1,64</w:t>
      </w:r>
      <w:r w:rsidR="00B17441" w:rsidRPr="00AB6071">
        <w:rPr>
          <w:rFonts w:ascii="Arial" w:hAnsi="Arial" w:cs="Arial"/>
        </w:rPr>
        <w:t>0</w:t>
      </w:r>
      <w:r w:rsidRPr="00AB6071">
        <w:rPr>
          <w:rFonts w:ascii="Arial" w:hAnsi="Arial" w:cs="Arial"/>
        </w:rPr>
        <w:t> stocks from companies throughout the world. It is maintained by </w:t>
      </w:r>
      <w:hyperlink r:id="rId12" w:tooltip="MSCI Inc." w:history="1">
        <w:r w:rsidRPr="00AB6071">
          <w:rPr>
            <w:rFonts w:ascii="Arial" w:hAnsi="Arial" w:cs="Arial"/>
          </w:rPr>
          <w:t>MSCI Inc.</w:t>
        </w:r>
      </w:hyperlink>
      <w:r w:rsidRPr="00AB6071">
        <w:rPr>
          <w:rFonts w:ascii="Arial" w:hAnsi="Arial" w:cs="Arial"/>
        </w:rPr>
        <w:t>, formerly Morgan Stanley Capital International, and is used as a common benchmark for 'world' or 'global' </w:t>
      </w:r>
      <w:hyperlink r:id="rId13" w:tooltip="Stock fund" w:history="1">
        <w:r w:rsidRPr="00AB6071">
          <w:rPr>
            <w:rFonts w:ascii="Arial" w:hAnsi="Arial" w:cs="Arial"/>
          </w:rPr>
          <w:t>stock funds</w:t>
        </w:r>
      </w:hyperlink>
      <w:r w:rsidRPr="00AB6071">
        <w:rPr>
          <w:rFonts w:ascii="Arial" w:hAnsi="Arial" w:cs="Arial"/>
        </w:rPr>
        <w:t xml:space="preserve"> intended to represent a broad cross-section of global markets. The </w:t>
      </w:r>
      <w:r w:rsidR="00F51722" w:rsidRPr="00AB6071">
        <w:rPr>
          <w:rFonts w:ascii="Arial" w:hAnsi="Arial" w:cs="Arial"/>
        </w:rPr>
        <w:t xml:space="preserve">Benchmark </w:t>
      </w:r>
      <w:r w:rsidRPr="00AB6071">
        <w:rPr>
          <w:rFonts w:ascii="Arial" w:hAnsi="Arial" w:cs="Arial"/>
        </w:rPr>
        <w:t>includes a collection of stocks of all the </w:t>
      </w:r>
      <w:hyperlink r:id="rId14" w:tooltip="Developed market" w:history="1">
        <w:r w:rsidRPr="00AB6071">
          <w:rPr>
            <w:rFonts w:ascii="Arial" w:hAnsi="Arial" w:cs="Arial"/>
          </w:rPr>
          <w:t>developed markets</w:t>
        </w:r>
      </w:hyperlink>
      <w:r w:rsidRPr="00AB6071">
        <w:rPr>
          <w:rFonts w:ascii="Arial" w:hAnsi="Arial" w:cs="Arial"/>
        </w:rPr>
        <w:t xml:space="preserve"> in the world, as defined by MSCI. The </w:t>
      </w:r>
      <w:r w:rsidR="00F51722" w:rsidRPr="00AB6071">
        <w:rPr>
          <w:rFonts w:ascii="Arial" w:hAnsi="Arial" w:cs="Arial"/>
        </w:rPr>
        <w:t xml:space="preserve">Benchmark </w:t>
      </w:r>
      <w:r w:rsidRPr="00AB6071">
        <w:rPr>
          <w:rFonts w:ascii="Arial" w:hAnsi="Arial" w:cs="Arial"/>
        </w:rPr>
        <w:t xml:space="preserve"> includes </w:t>
      </w:r>
      <w:hyperlink r:id="rId15" w:tooltip="Security (finance)" w:history="1">
        <w:r w:rsidRPr="00AB6071">
          <w:rPr>
            <w:rFonts w:ascii="Arial" w:hAnsi="Arial" w:cs="Arial"/>
          </w:rPr>
          <w:t>securities</w:t>
        </w:r>
      </w:hyperlink>
      <w:r w:rsidRPr="00AB6071">
        <w:rPr>
          <w:rFonts w:ascii="Arial" w:hAnsi="Arial" w:cs="Arial"/>
        </w:rPr>
        <w:t xml:space="preserve"> from 23 countries but excludes stocks from emerging and frontier economies. </w:t>
      </w:r>
      <w:r w:rsidR="00B17441" w:rsidRPr="00AB6071">
        <w:rPr>
          <w:rFonts w:ascii="Arial" w:hAnsi="Arial" w:cs="Arial"/>
        </w:rPr>
        <w:t xml:space="preserve">The market capitalisation for the </w:t>
      </w:r>
      <w:r w:rsidR="00F51722" w:rsidRPr="00AB6071">
        <w:rPr>
          <w:rFonts w:ascii="Arial" w:hAnsi="Arial" w:cs="Arial"/>
        </w:rPr>
        <w:t xml:space="preserve">Benchmark </w:t>
      </w:r>
      <w:r w:rsidR="00B17441" w:rsidRPr="00AB6071">
        <w:rPr>
          <w:rFonts w:ascii="Arial" w:hAnsi="Arial" w:cs="Arial"/>
        </w:rPr>
        <w:t xml:space="preserve"> at 30 April 2020 was USD 38,765,696.49 million. </w:t>
      </w:r>
      <w:r w:rsidR="00F51722" w:rsidRPr="00AB6071">
        <w:rPr>
          <w:rFonts w:ascii="Arial" w:hAnsi="Arial" w:cs="Arial"/>
        </w:rPr>
        <w:t xml:space="preserve"> </w:t>
      </w:r>
    </w:p>
    <w:p w14:paraId="2073C9D5" w14:textId="77777777" w:rsidR="004553FA" w:rsidRDefault="004553FA" w:rsidP="004553FA">
      <w:pPr>
        <w:pStyle w:val="CommentText"/>
        <w:spacing w:line="288" w:lineRule="auto"/>
        <w:rPr>
          <w:rFonts w:ascii="Arial" w:hAnsi="Arial" w:cs="Arial"/>
        </w:rPr>
      </w:pPr>
    </w:p>
    <w:p w14:paraId="1C79C233" w14:textId="5279A9CC" w:rsidR="00970A47" w:rsidRPr="00AB6071" w:rsidRDefault="00970A47" w:rsidP="004553FA">
      <w:pPr>
        <w:pStyle w:val="CommentText"/>
        <w:spacing w:line="288" w:lineRule="auto"/>
        <w:rPr>
          <w:rFonts w:ascii="Arial" w:hAnsi="Arial" w:cs="Arial"/>
        </w:rPr>
      </w:pPr>
      <w:r w:rsidRPr="00AB6071">
        <w:rPr>
          <w:rFonts w:ascii="Arial" w:hAnsi="Arial" w:cs="Arial"/>
        </w:rPr>
        <w:t>Further information in relation to the Benchmark is available at:</w:t>
      </w:r>
    </w:p>
    <w:p w14:paraId="74F53ACA" w14:textId="379DBCE7" w:rsidR="00970A47" w:rsidRPr="004553FA" w:rsidRDefault="00970A47" w:rsidP="004553FA">
      <w:pPr>
        <w:pStyle w:val="CommentText"/>
        <w:spacing w:line="288" w:lineRule="auto"/>
        <w:rPr>
          <w:rFonts w:ascii="Arial" w:hAnsi="Arial" w:cs="Arial"/>
        </w:rPr>
      </w:pPr>
      <w:hyperlink r:id="rId16" w:history="1">
        <w:r w:rsidRPr="004553FA">
          <w:rPr>
            <w:rStyle w:val="Hyperlink"/>
            <w:rFonts w:ascii="Arial" w:eastAsiaTheme="majorEastAsia" w:hAnsi="Arial" w:cs="Arial"/>
            <w:color w:val="auto"/>
            <w:u w:val="none"/>
          </w:rPr>
          <w:t>https://www.msci.com/developed-markets</w:t>
        </w:r>
      </w:hyperlink>
      <w:r w:rsidR="00C63195">
        <w:rPr>
          <w:rStyle w:val="Hyperlink"/>
          <w:rFonts w:ascii="Arial" w:eastAsiaTheme="majorEastAsia" w:hAnsi="Arial" w:cs="Arial"/>
          <w:color w:val="auto"/>
          <w:u w:val="none"/>
        </w:rPr>
        <w:t>;</w:t>
      </w:r>
    </w:p>
    <w:p w14:paraId="7EDD5688" w14:textId="4C89FA27" w:rsidR="00970A47" w:rsidRDefault="00970A47" w:rsidP="004553FA">
      <w:pPr>
        <w:pStyle w:val="CommentText"/>
        <w:spacing w:line="288" w:lineRule="auto"/>
        <w:rPr>
          <w:rStyle w:val="Hyperlink"/>
          <w:rFonts w:ascii="Arial" w:eastAsiaTheme="majorEastAsia" w:hAnsi="Arial" w:cs="Arial"/>
          <w:color w:val="auto"/>
          <w:u w:val="none"/>
        </w:rPr>
      </w:pPr>
      <w:hyperlink r:id="rId17" w:history="1">
        <w:r w:rsidRPr="004553FA">
          <w:rPr>
            <w:rStyle w:val="Hyperlink"/>
            <w:rFonts w:ascii="Arial" w:eastAsiaTheme="majorEastAsia" w:hAnsi="Arial" w:cs="Arial"/>
            <w:color w:val="auto"/>
            <w:u w:val="none"/>
          </w:rPr>
          <w:t>https://www.msci.com/documents/10199/149ed7bc-316e-4b4c-8ea4-43fcb5bd6523</w:t>
        </w:r>
      </w:hyperlink>
      <w:r w:rsidR="00C63195">
        <w:rPr>
          <w:rStyle w:val="Hyperlink"/>
          <w:rFonts w:ascii="Arial" w:eastAsiaTheme="majorEastAsia" w:hAnsi="Arial" w:cs="Arial"/>
          <w:color w:val="auto"/>
          <w:u w:val="none"/>
        </w:rPr>
        <w:t>;</w:t>
      </w:r>
    </w:p>
    <w:p w14:paraId="0C4DA90E" w14:textId="2B35D163" w:rsidR="00970A47" w:rsidRDefault="00E101CC" w:rsidP="004553FA">
      <w:pPr>
        <w:pStyle w:val="CommentText"/>
        <w:spacing w:line="288" w:lineRule="auto"/>
        <w:rPr>
          <w:rFonts w:ascii="Arial" w:hAnsi="Arial" w:cs="Arial"/>
        </w:rPr>
      </w:pPr>
      <w:r>
        <w:rPr>
          <w:rFonts w:ascii="Arial" w:hAnsi="Arial" w:cs="Arial"/>
        </w:rPr>
        <w:t>o</w:t>
      </w:r>
      <w:r w:rsidR="00D42766" w:rsidRPr="00AB6071">
        <w:rPr>
          <w:rFonts w:ascii="Arial" w:hAnsi="Arial" w:cs="Arial"/>
        </w:rPr>
        <w:t xml:space="preserve">n </w:t>
      </w:r>
      <w:r w:rsidR="00970A47" w:rsidRPr="00AB6071">
        <w:rPr>
          <w:rFonts w:ascii="Arial" w:hAnsi="Arial" w:cs="Arial"/>
        </w:rPr>
        <w:t>Bloomberg by typing NDDUWI Index &lt;Go&gt; DES &lt;Go&gt;</w:t>
      </w:r>
      <w:r w:rsidR="004553FA">
        <w:rPr>
          <w:rFonts w:ascii="Arial" w:hAnsi="Arial" w:cs="Arial"/>
        </w:rPr>
        <w:t>.</w:t>
      </w:r>
    </w:p>
    <w:p w14:paraId="06CAE93D" w14:textId="77777777" w:rsidR="00C63195" w:rsidRPr="00AB6071" w:rsidRDefault="00C63195" w:rsidP="004553FA">
      <w:pPr>
        <w:pStyle w:val="CommentText"/>
        <w:spacing w:line="288" w:lineRule="auto"/>
        <w:rPr>
          <w:rFonts w:ascii="Arial" w:hAnsi="Arial" w:cs="Arial"/>
        </w:rPr>
      </w:pPr>
    </w:p>
    <w:p w14:paraId="312D79D2" w14:textId="4EDEA313" w:rsidR="00507940" w:rsidRDefault="00497098" w:rsidP="00C631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bookmarkStart w:id="20" w:name="_DV_M453"/>
      <w:bookmarkEnd w:id="20"/>
      <w:r w:rsidRPr="00AB6071">
        <w:rPr>
          <w:rFonts w:ascii="Arial" w:hAnsi="Arial" w:cs="Arial"/>
          <w:sz w:val="20"/>
        </w:rPr>
        <w:t xml:space="preserve">The </w:t>
      </w:r>
      <w:r w:rsidR="00F51722" w:rsidRPr="00AB6071">
        <w:rPr>
          <w:rFonts w:ascii="Arial" w:hAnsi="Arial" w:cs="Arial"/>
          <w:sz w:val="20"/>
        </w:rPr>
        <w:t>Ben</w:t>
      </w:r>
      <w:r w:rsidR="00F41F63" w:rsidRPr="00AB6071">
        <w:rPr>
          <w:rFonts w:ascii="Arial" w:hAnsi="Arial" w:cs="Arial"/>
          <w:sz w:val="20"/>
        </w:rPr>
        <w:t xml:space="preserve">chmark </w:t>
      </w:r>
      <w:r w:rsidRPr="00AB6071">
        <w:rPr>
          <w:rFonts w:ascii="Arial" w:hAnsi="Arial" w:cs="Arial"/>
          <w:sz w:val="20"/>
        </w:rPr>
        <w:t xml:space="preserve">is rebalanced on a quarterly basis. </w:t>
      </w:r>
      <w:r w:rsidR="00295B4A" w:rsidRPr="00AB6071">
        <w:rPr>
          <w:rFonts w:ascii="Arial" w:hAnsi="Arial" w:cs="Arial"/>
          <w:sz w:val="20"/>
        </w:rPr>
        <w:t xml:space="preserve">The costs associated with rebalancing the exposure to the </w:t>
      </w:r>
      <w:r w:rsidR="005B1F1F" w:rsidRPr="00AB6071">
        <w:rPr>
          <w:rFonts w:ascii="Arial" w:hAnsi="Arial" w:cs="Arial"/>
          <w:sz w:val="20"/>
        </w:rPr>
        <w:t>B</w:t>
      </w:r>
      <w:r w:rsidR="00295B4A" w:rsidRPr="00AB6071">
        <w:rPr>
          <w:rFonts w:ascii="Arial" w:hAnsi="Arial" w:cs="Arial"/>
          <w:sz w:val="20"/>
        </w:rPr>
        <w:t xml:space="preserve">enchmark </w:t>
      </w:r>
      <w:r w:rsidR="005B1F1F" w:rsidRPr="00AB6071">
        <w:rPr>
          <w:rFonts w:ascii="Arial" w:hAnsi="Arial" w:cs="Arial"/>
          <w:sz w:val="20"/>
        </w:rPr>
        <w:t>are</w:t>
      </w:r>
      <w:r w:rsidR="00295B4A" w:rsidRPr="00AB6071">
        <w:rPr>
          <w:rFonts w:ascii="Arial" w:hAnsi="Arial" w:cs="Arial"/>
          <w:sz w:val="20"/>
        </w:rPr>
        <w:t xml:space="preserve"> minimal when compared to the volatility of the Benchmark.</w:t>
      </w:r>
      <w:r w:rsidR="007F6129" w:rsidRPr="00AB6071">
        <w:rPr>
          <w:rFonts w:ascii="Arial" w:hAnsi="Arial" w:cs="Arial"/>
          <w:sz w:val="20"/>
        </w:rPr>
        <w:t xml:space="preserve"> </w:t>
      </w:r>
      <w:r w:rsidR="00382604" w:rsidRPr="00AB6071">
        <w:rPr>
          <w:rFonts w:ascii="Arial" w:hAnsi="Arial" w:cs="Arial"/>
          <w:sz w:val="20"/>
        </w:rPr>
        <w:t xml:space="preserve">If the </w:t>
      </w:r>
      <w:r w:rsidR="00F41F63" w:rsidRPr="00AB6071">
        <w:rPr>
          <w:rFonts w:ascii="Arial" w:hAnsi="Arial" w:cs="Arial"/>
          <w:sz w:val="20"/>
        </w:rPr>
        <w:t xml:space="preserve">Fund </w:t>
      </w:r>
      <w:r w:rsidR="00382604" w:rsidRPr="00AB6071">
        <w:rPr>
          <w:rFonts w:ascii="Arial" w:hAnsi="Arial" w:cs="Arial"/>
          <w:sz w:val="20"/>
        </w:rPr>
        <w:t>were to be fully invested in equities</w:t>
      </w:r>
      <w:r w:rsidR="006263AA" w:rsidRPr="00AB6071">
        <w:rPr>
          <w:rFonts w:ascii="Arial" w:hAnsi="Arial" w:cs="Arial"/>
          <w:sz w:val="20"/>
        </w:rPr>
        <w:t xml:space="preserve"> (directly or through other </w:t>
      </w:r>
      <w:r w:rsidR="00901DBB" w:rsidRPr="00AB6071">
        <w:rPr>
          <w:rFonts w:ascii="Arial" w:hAnsi="Arial" w:cs="Arial"/>
          <w:sz w:val="20"/>
        </w:rPr>
        <w:t>funds</w:t>
      </w:r>
      <w:r w:rsidR="006263AA" w:rsidRPr="00AB6071">
        <w:rPr>
          <w:rFonts w:ascii="Arial" w:hAnsi="Arial" w:cs="Arial"/>
          <w:sz w:val="20"/>
        </w:rPr>
        <w:t>)</w:t>
      </w:r>
      <w:r w:rsidR="00382604" w:rsidRPr="00AB6071">
        <w:rPr>
          <w:rFonts w:ascii="Arial" w:hAnsi="Arial" w:cs="Arial"/>
          <w:sz w:val="20"/>
        </w:rPr>
        <w:t xml:space="preserve">, it would need to be rebalanced in line with the quarterly rebalances of the </w:t>
      </w:r>
      <w:r w:rsidR="00F51722" w:rsidRPr="00AB6071">
        <w:rPr>
          <w:rFonts w:ascii="Arial" w:hAnsi="Arial" w:cs="Arial"/>
          <w:sz w:val="20"/>
        </w:rPr>
        <w:t xml:space="preserve">Benchmark. </w:t>
      </w:r>
      <w:r w:rsidR="00E13D86" w:rsidRPr="00AB6071">
        <w:rPr>
          <w:rFonts w:ascii="Arial" w:hAnsi="Arial" w:cs="Arial"/>
          <w:sz w:val="20"/>
        </w:rPr>
        <w:t xml:space="preserve"> Below is a table illustrating two-way turnover (buying shares that enter the index and selling shares that exit the index) over the last 14 rebalance </w:t>
      </w:r>
      <w:r w:rsidR="00507940" w:rsidRPr="00AB6071">
        <w:rPr>
          <w:rFonts w:ascii="Arial" w:hAnsi="Arial" w:cs="Arial"/>
          <w:sz w:val="20"/>
        </w:rPr>
        <w:t>dates</w:t>
      </w:r>
      <w:r w:rsidR="00E13D86" w:rsidRPr="00AB6071">
        <w:rPr>
          <w:rFonts w:ascii="Arial" w:hAnsi="Arial" w:cs="Arial"/>
          <w:sz w:val="20"/>
        </w:rPr>
        <w:t>.</w:t>
      </w:r>
      <w:r w:rsidR="00507940" w:rsidRPr="00AB6071">
        <w:rPr>
          <w:rFonts w:ascii="Arial" w:hAnsi="Arial" w:cs="Arial"/>
          <w:sz w:val="20"/>
        </w:rPr>
        <w:t xml:space="preserve"> Brokerage fees of 10bps are applied to calculate brokerage fees (as a % of the index).</w:t>
      </w:r>
    </w:p>
    <w:p w14:paraId="14EB0675" w14:textId="77777777" w:rsidR="00C63195" w:rsidRPr="00AB6071" w:rsidRDefault="00C63195" w:rsidP="00C631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tbl>
      <w:tblPr>
        <w:tblW w:w="8379" w:type="dxa"/>
        <w:tblInd w:w="-20" w:type="dxa"/>
        <w:tblLook w:val="04A0" w:firstRow="1" w:lastRow="0" w:firstColumn="1" w:lastColumn="0" w:noHBand="0" w:noVBand="1"/>
      </w:tblPr>
      <w:tblGrid>
        <w:gridCol w:w="1780"/>
        <w:gridCol w:w="3040"/>
        <w:gridCol w:w="3559"/>
      </w:tblGrid>
      <w:tr w:rsidR="002C312D" w:rsidRPr="00AB6071" w14:paraId="44DFB5DE" w14:textId="77777777" w:rsidTr="00E528FD">
        <w:trPr>
          <w:trHeight w:val="300"/>
          <w:tblHeader/>
        </w:trPr>
        <w:tc>
          <w:tcPr>
            <w:tcW w:w="1780" w:type="dxa"/>
            <w:tcBorders>
              <w:top w:val="single" w:sz="4" w:space="0" w:color="auto"/>
              <w:left w:val="single" w:sz="4" w:space="0" w:color="auto"/>
              <w:bottom w:val="single" w:sz="4" w:space="0" w:color="auto"/>
              <w:right w:val="single" w:sz="4" w:space="0" w:color="auto"/>
            </w:tcBorders>
            <w:noWrap/>
            <w:hideMark/>
          </w:tcPr>
          <w:p w14:paraId="5AD2B8C7" w14:textId="77777777" w:rsidR="002C312D" w:rsidRPr="00AB6071" w:rsidRDefault="002C312D" w:rsidP="00E528FD">
            <w:pPr>
              <w:spacing w:line="288" w:lineRule="auto"/>
              <w:jc w:val="left"/>
              <w:rPr>
                <w:rFonts w:ascii="Arial" w:hAnsi="Arial" w:cs="Arial"/>
                <w:b/>
                <w:bCs/>
                <w:color w:val="000000"/>
                <w:sz w:val="20"/>
                <w:lang w:val="en-ZA" w:eastAsia="en-ZA"/>
              </w:rPr>
            </w:pPr>
            <w:r w:rsidRPr="00AB6071">
              <w:rPr>
                <w:rFonts w:ascii="Arial" w:hAnsi="Arial" w:cs="Arial"/>
                <w:b/>
                <w:bCs/>
                <w:color w:val="000000"/>
                <w:sz w:val="20"/>
                <w:lang w:val="en-ZA" w:eastAsia="en-ZA"/>
              </w:rPr>
              <w:lastRenderedPageBreak/>
              <w:t>Rebalance Date</w:t>
            </w:r>
          </w:p>
        </w:tc>
        <w:tc>
          <w:tcPr>
            <w:tcW w:w="3040" w:type="dxa"/>
            <w:tcBorders>
              <w:top w:val="single" w:sz="4" w:space="0" w:color="auto"/>
              <w:left w:val="nil"/>
              <w:bottom w:val="single" w:sz="4" w:space="0" w:color="auto"/>
              <w:right w:val="single" w:sz="4" w:space="0" w:color="auto"/>
            </w:tcBorders>
            <w:noWrap/>
            <w:hideMark/>
          </w:tcPr>
          <w:p w14:paraId="6107828F" w14:textId="77777777" w:rsidR="002C312D" w:rsidRPr="00AB6071" w:rsidRDefault="002C312D" w:rsidP="00E528FD">
            <w:pPr>
              <w:spacing w:line="288" w:lineRule="auto"/>
              <w:jc w:val="left"/>
              <w:rPr>
                <w:rFonts w:ascii="Arial" w:hAnsi="Arial" w:cs="Arial"/>
                <w:b/>
                <w:bCs/>
                <w:color w:val="000000"/>
                <w:sz w:val="20"/>
                <w:lang w:val="en-ZA" w:eastAsia="en-ZA"/>
              </w:rPr>
            </w:pPr>
            <w:r w:rsidRPr="00AB6071">
              <w:rPr>
                <w:rFonts w:ascii="Arial" w:hAnsi="Arial" w:cs="Arial"/>
                <w:b/>
                <w:bCs/>
                <w:color w:val="000000"/>
                <w:sz w:val="20"/>
                <w:lang w:val="en-ZA" w:eastAsia="en-ZA"/>
              </w:rPr>
              <w:t>Two-way turnover (% of index)</w:t>
            </w:r>
          </w:p>
        </w:tc>
        <w:tc>
          <w:tcPr>
            <w:tcW w:w="3559" w:type="dxa"/>
            <w:tcBorders>
              <w:top w:val="single" w:sz="4" w:space="0" w:color="auto"/>
              <w:left w:val="nil"/>
              <w:bottom w:val="single" w:sz="4" w:space="0" w:color="auto"/>
              <w:right w:val="single" w:sz="4" w:space="0" w:color="auto"/>
            </w:tcBorders>
            <w:noWrap/>
            <w:hideMark/>
          </w:tcPr>
          <w:p w14:paraId="782880BC" w14:textId="77777777" w:rsidR="002C312D" w:rsidRPr="00AB6071" w:rsidRDefault="002C312D" w:rsidP="00E528FD">
            <w:pPr>
              <w:spacing w:line="288" w:lineRule="auto"/>
              <w:jc w:val="left"/>
              <w:rPr>
                <w:rFonts w:ascii="Arial" w:hAnsi="Arial" w:cs="Arial"/>
                <w:b/>
                <w:bCs/>
                <w:color w:val="000000"/>
                <w:sz w:val="20"/>
                <w:lang w:val="en-ZA" w:eastAsia="en-ZA"/>
              </w:rPr>
            </w:pPr>
            <w:r w:rsidRPr="00AB6071">
              <w:rPr>
                <w:rFonts w:ascii="Arial" w:hAnsi="Arial" w:cs="Arial"/>
                <w:b/>
                <w:bCs/>
                <w:color w:val="000000"/>
                <w:sz w:val="20"/>
                <w:lang w:val="en-ZA" w:eastAsia="en-ZA"/>
              </w:rPr>
              <w:t>Brokerage Fee (% of index)</w:t>
            </w:r>
          </w:p>
        </w:tc>
      </w:tr>
      <w:tr w:rsidR="002C312D" w:rsidRPr="00AB6071" w14:paraId="65E0CC52" w14:textId="77777777" w:rsidTr="002C312D">
        <w:trPr>
          <w:trHeight w:val="300"/>
        </w:trPr>
        <w:tc>
          <w:tcPr>
            <w:tcW w:w="1780" w:type="dxa"/>
            <w:tcBorders>
              <w:top w:val="nil"/>
              <w:left w:val="single" w:sz="4" w:space="0" w:color="auto"/>
              <w:bottom w:val="nil"/>
              <w:right w:val="nil"/>
            </w:tcBorders>
            <w:noWrap/>
            <w:vAlign w:val="bottom"/>
            <w:hideMark/>
          </w:tcPr>
          <w:p w14:paraId="5550CC01"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May-20</w:t>
            </w:r>
          </w:p>
        </w:tc>
        <w:tc>
          <w:tcPr>
            <w:tcW w:w="3040" w:type="dxa"/>
            <w:tcBorders>
              <w:top w:val="nil"/>
              <w:left w:val="single" w:sz="4" w:space="0" w:color="auto"/>
              <w:bottom w:val="nil"/>
              <w:right w:val="single" w:sz="4" w:space="0" w:color="auto"/>
            </w:tcBorders>
            <w:noWrap/>
            <w:vAlign w:val="center"/>
            <w:hideMark/>
          </w:tcPr>
          <w:p w14:paraId="17AF31B6"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3.07%</w:t>
            </w:r>
          </w:p>
        </w:tc>
        <w:tc>
          <w:tcPr>
            <w:tcW w:w="3559" w:type="dxa"/>
            <w:tcBorders>
              <w:top w:val="nil"/>
              <w:left w:val="nil"/>
              <w:bottom w:val="nil"/>
              <w:right w:val="single" w:sz="4" w:space="0" w:color="auto"/>
            </w:tcBorders>
            <w:noWrap/>
            <w:vAlign w:val="center"/>
            <w:hideMark/>
          </w:tcPr>
          <w:p w14:paraId="3712C372"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0.00307%</w:t>
            </w:r>
          </w:p>
        </w:tc>
      </w:tr>
      <w:tr w:rsidR="002C312D" w:rsidRPr="00AB6071" w14:paraId="56243565" w14:textId="77777777" w:rsidTr="002C312D">
        <w:trPr>
          <w:trHeight w:val="300"/>
        </w:trPr>
        <w:tc>
          <w:tcPr>
            <w:tcW w:w="1780" w:type="dxa"/>
            <w:tcBorders>
              <w:top w:val="nil"/>
              <w:left w:val="single" w:sz="4" w:space="0" w:color="auto"/>
              <w:bottom w:val="nil"/>
              <w:right w:val="nil"/>
            </w:tcBorders>
            <w:noWrap/>
            <w:vAlign w:val="bottom"/>
            <w:hideMark/>
          </w:tcPr>
          <w:p w14:paraId="7C0B52CE"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Feb-20</w:t>
            </w:r>
          </w:p>
        </w:tc>
        <w:tc>
          <w:tcPr>
            <w:tcW w:w="3040" w:type="dxa"/>
            <w:tcBorders>
              <w:top w:val="nil"/>
              <w:left w:val="single" w:sz="4" w:space="0" w:color="auto"/>
              <w:bottom w:val="nil"/>
              <w:right w:val="single" w:sz="4" w:space="0" w:color="auto"/>
            </w:tcBorders>
            <w:noWrap/>
            <w:vAlign w:val="center"/>
            <w:hideMark/>
          </w:tcPr>
          <w:p w14:paraId="5974B40D"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0.67%</w:t>
            </w:r>
          </w:p>
        </w:tc>
        <w:tc>
          <w:tcPr>
            <w:tcW w:w="3559" w:type="dxa"/>
            <w:tcBorders>
              <w:top w:val="nil"/>
              <w:left w:val="nil"/>
              <w:bottom w:val="nil"/>
              <w:right w:val="single" w:sz="4" w:space="0" w:color="auto"/>
            </w:tcBorders>
            <w:noWrap/>
            <w:vAlign w:val="center"/>
            <w:hideMark/>
          </w:tcPr>
          <w:p w14:paraId="6D2C4371"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0.00067%</w:t>
            </w:r>
          </w:p>
        </w:tc>
      </w:tr>
      <w:tr w:rsidR="002C312D" w:rsidRPr="00AB6071" w14:paraId="40112725" w14:textId="77777777" w:rsidTr="002C312D">
        <w:trPr>
          <w:trHeight w:val="300"/>
        </w:trPr>
        <w:tc>
          <w:tcPr>
            <w:tcW w:w="1780" w:type="dxa"/>
            <w:tcBorders>
              <w:top w:val="nil"/>
              <w:left w:val="single" w:sz="4" w:space="0" w:color="auto"/>
              <w:bottom w:val="nil"/>
              <w:right w:val="nil"/>
            </w:tcBorders>
            <w:noWrap/>
            <w:vAlign w:val="bottom"/>
            <w:hideMark/>
          </w:tcPr>
          <w:p w14:paraId="46213A89"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Nov-19</w:t>
            </w:r>
          </w:p>
        </w:tc>
        <w:tc>
          <w:tcPr>
            <w:tcW w:w="3040" w:type="dxa"/>
            <w:tcBorders>
              <w:top w:val="nil"/>
              <w:left w:val="single" w:sz="4" w:space="0" w:color="auto"/>
              <w:bottom w:val="nil"/>
              <w:right w:val="single" w:sz="4" w:space="0" w:color="auto"/>
            </w:tcBorders>
            <w:noWrap/>
            <w:vAlign w:val="center"/>
            <w:hideMark/>
          </w:tcPr>
          <w:p w14:paraId="03CF6141"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1.47%</w:t>
            </w:r>
          </w:p>
        </w:tc>
        <w:tc>
          <w:tcPr>
            <w:tcW w:w="3559" w:type="dxa"/>
            <w:tcBorders>
              <w:top w:val="nil"/>
              <w:left w:val="nil"/>
              <w:bottom w:val="nil"/>
              <w:right w:val="single" w:sz="4" w:space="0" w:color="auto"/>
            </w:tcBorders>
            <w:noWrap/>
            <w:vAlign w:val="center"/>
            <w:hideMark/>
          </w:tcPr>
          <w:p w14:paraId="45D2B907"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0.00147%</w:t>
            </w:r>
          </w:p>
        </w:tc>
      </w:tr>
      <w:tr w:rsidR="002C312D" w:rsidRPr="00AB6071" w14:paraId="2E39EC61" w14:textId="77777777" w:rsidTr="002C312D">
        <w:trPr>
          <w:trHeight w:val="300"/>
        </w:trPr>
        <w:tc>
          <w:tcPr>
            <w:tcW w:w="1780" w:type="dxa"/>
            <w:tcBorders>
              <w:top w:val="nil"/>
              <w:left w:val="single" w:sz="4" w:space="0" w:color="auto"/>
              <w:bottom w:val="nil"/>
              <w:right w:val="nil"/>
            </w:tcBorders>
            <w:noWrap/>
            <w:vAlign w:val="bottom"/>
            <w:hideMark/>
          </w:tcPr>
          <w:p w14:paraId="6D179BF8"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Aug-19</w:t>
            </w:r>
          </w:p>
        </w:tc>
        <w:tc>
          <w:tcPr>
            <w:tcW w:w="3040" w:type="dxa"/>
            <w:tcBorders>
              <w:top w:val="nil"/>
              <w:left w:val="single" w:sz="4" w:space="0" w:color="auto"/>
              <w:bottom w:val="nil"/>
              <w:right w:val="single" w:sz="4" w:space="0" w:color="auto"/>
            </w:tcBorders>
            <w:noWrap/>
            <w:vAlign w:val="center"/>
            <w:hideMark/>
          </w:tcPr>
          <w:p w14:paraId="3DC757A7"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0.72%</w:t>
            </w:r>
          </w:p>
        </w:tc>
        <w:tc>
          <w:tcPr>
            <w:tcW w:w="3559" w:type="dxa"/>
            <w:tcBorders>
              <w:top w:val="nil"/>
              <w:left w:val="nil"/>
              <w:bottom w:val="nil"/>
              <w:right w:val="single" w:sz="4" w:space="0" w:color="auto"/>
            </w:tcBorders>
            <w:noWrap/>
            <w:vAlign w:val="center"/>
            <w:hideMark/>
          </w:tcPr>
          <w:p w14:paraId="237A8480"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0.00072%</w:t>
            </w:r>
          </w:p>
        </w:tc>
      </w:tr>
      <w:tr w:rsidR="002C312D" w:rsidRPr="00AB6071" w14:paraId="0CBF2122" w14:textId="77777777" w:rsidTr="002C312D">
        <w:trPr>
          <w:trHeight w:val="300"/>
        </w:trPr>
        <w:tc>
          <w:tcPr>
            <w:tcW w:w="1780" w:type="dxa"/>
            <w:tcBorders>
              <w:top w:val="nil"/>
              <w:left w:val="single" w:sz="4" w:space="0" w:color="auto"/>
              <w:bottom w:val="nil"/>
              <w:right w:val="nil"/>
            </w:tcBorders>
            <w:noWrap/>
            <w:vAlign w:val="bottom"/>
            <w:hideMark/>
          </w:tcPr>
          <w:p w14:paraId="7F2E22D2"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May-19</w:t>
            </w:r>
          </w:p>
        </w:tc>
        <w:tc>
          <w:tcPr>
            <w:tcW w:w="3040" w:type="dxa"/>
            <w:tcBorders>
              <w:top w:val="nil"/>
              <w:left w:val="single" w:sz="4" w:space="0" w:color="auto"/>
              <w:bottom w:val="nil"/>
              <w:right w:val="single" w:sz="4" w:space="0" w:color="auto"/>
            </w:tcBorders>
            <w:noWrap/>
            <w:vAlign w:val="center"/>
            <w:hideMark/>
          </w:tcPr>
          <w:p w14:paraId="27FACD79"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1.99%</w:t>
            </w:r>
          </w:p>
        </w:tc>
        <w:tc>
          <w:tcPr>
            <w:tcW w:w="3559" w:type="dxa"/>
            <w:tcBorders>
              <w:top w:val="nil"/>
              <w:left w:val="nil"/>
              <w:bottom w:val="nil"/>
              <w:right w:val="single" w:sz="4" w:space="0" w:color="auto"/>
            </w:tcBorders>
            <w:noWrap/>
            <w:vAlign w:val="center"/>
            <w:hideMark/>
          </w:tcPr>
          <w:p w14:paraId="5BA9661C"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0.00199%</w:t>
            </w:r>
          </w:p>
        </w:tc>
      </w:tr>
      <w:tr w:rsidR="002C312D" w:rsidRPr="00AB6071" w14:paraId="6B5FAC33" w14:textId="77777777" w:rsidTr="002C312D">
        <w:trPr>
          <w:trHeight w:val="300"/>
        </w:trPr>
        <w:tc>
          <w:tcPr>
            <w:tcW w:w="1780" w:type="dxa"/>
            <w:tcBorders>
              <w:top w:val="nil"/>
              <w:left w:val="single" w:sz="4" w:space="0" w:color="auto"/>
              <w:bottom w:val="nil"/>
              <w:right w:val="nil"/>
            </w:tcBorders>
            <w:noWrap/>
            <w:vAlign w:val="bottom"/>
            <w:hideMark/>
          </w:tcPr>
          <w:p w14:paraId="1B66CA7A"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Feb-19</w:t>
            </w:r>
          </w:p>
        </w:tc>
        <w:tc>
          <w:tcPr>
            <w:tcW w:w="3040" w:type="dxa"/>
            <w:tcBorders>
              <w:top w:val="nil"/>
              <w:left w:val="single" w:sz="4" w:space="0" w:color="auto"/>
              <w:bottom w:val="nil"/>
              <w:right w:val="single" w:sz="4" w:space="0" w:color="auto"/>
            </w:tcBorders>
            <w:noWrap/>
            <w:vAlign w:val="center"/>
            <w:hideMark/>
          </w:tcPr>
          <w:p w14:paraId="51727BD7"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0.86%</w:t>
            </w:r>
          </w:p>
        </w:tc>
        <w:tc>
          <w:tcPr>
            <w:tcW w:w="3559" w:type="dxa"/>
            <w:tcBorders>
              <w:top w:val="nil"/>
              <w:left w:val="nil"/>
              <w:bottom w:val="nil"/>
              <w:right w:val="single" w:sz="4" w:space="0" w:color="auto"/>
            </w:tcBorders>
            <w:noWrap/>
            <w:vAlign w:val="center"/>
            <w:hideMark/>
          </w:tcPr>
          <w:p w14:paraId="3005D8EC"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0.00086%</w:t>
            </w:r>
          </w:p>
        </w:tc>
      </w:tr>
      <w:tr w:rsidR="002C312D" w:rsidRPr="00AB6071" w14:paraId="10F75900" w14:textId="77777777" w:rsidTr="002C312D">
        <w:trPr>
          <w:trHeight w:val="300"/>
        </w:trPr>
        <w:tc>
          <w:tcPr>
            <w:tcW w:w="1780" w:type="dxa"/>
            <w:tcBorders>
              <w:top w:val="nil"/>
              <w:left w:val="single" w:sz="4" w:space="0" w:color="auto"/>
              <w:bottom w:val="nil"/>
              <w:right w:val="nil"/>
            </w:tcBorders>
            <w:noWrap/>
            <w:vAlign w:val="bottom"/>
            <w:hideMark/>
          </w:tcPr>
          <w:p w14:paraId="505E11E5"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Nov-18</w:t>
            </w:r>
          </w:p>
        </w:tc>
        <w:tc>
          <w:tcPr>
            <w:tcW w:w="3040" w:type="dxa"/>
            <w:tcBorders>
              <w:top w:val="nil"/>
              <w:left w:val="single" w:sz="4" w:space="0" w:color="auto"/>
              <w:bottom w:val="nil"/>
              <w:right w:val="single" w:sz="4" w:space="0" w:color="auto"/>
            </w:tcBorders>
            <w:noWrap/>
            <w:vAlign w:val="center"/>
            <w:hideMark/>
          </w:tcPr>
          <w:p w14:paraId="43E15149"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1.09%</w:t>
            </w:r>
          </w:p>
        </w:tc>
        <w:tc>
          <w:tcPr>
            <w:tcW w:w="3559" w:type="dxa"/>
            <w:tcBorders>
              <w:top w:val="nil"/>
              <w:left w:val="nil"/>
              <w:bottom w:val="nil"/>
              <w:right w:val="single" w:sz="4" w:space="0" w:color="auto"/>
            </w:tcBorders>
            <w:noWrap/>
            <w:vAlign w:val="center"/>
            <w:hideMark/>
          </w:tcPr>
          <w:p w14:paraId="35F84838"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0.00109%</w:t>
            </w:r>
          </w:p>
        </w:tc>
      </w:tr>
      <w:tr w:rsidR="002C312D" w:rsidRPr="00AB6071" w14:paraId="3B3A72FF" w14:textId="77777777" w:rsidTr="002C312D">
        <w:trPr>
          <w:trHeight w:val="300"/>
        </w:trPr>
        <w:tc>
          <w:tcPr>
            <w:tcW w:w="1780" w:type="dxa"/>
            <w:tcBorders>
              <w:top w:val="nil"/>
              <w:left w:val="single" w:sz="4" w:space="0" w:color="auto"/>
              <w:bottom w:val="nil"/>
              <w:right w:val="nil"/>
            </w:tcBorders>
            <w:noWrap/>
            <w:vAlign w:val="bottom"/>
            <w:hideMark/>
          </w:tcPr>
          <w:p w14:paraId="7C1E0181"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Aug-18</w:t>
            </w:r>
          </w:p>
        </w:tc>
        <w:tc>
          <w:tcPr>
            <w:tcW w:w="3040" w:type="dxa"/>
            <w:tcBorders>
              <w:top w:val="nil"/>
              <w:left w:val="single" w:sz="4" w:space="0" w:color="auto"/>
              <w:bottom w:val="nil"/>
              <w:right w:val="single" w:sz="4" w:space="0" w:color="auto"/>
            </w:tcBorders>
            <w:noWrap/>
            <w:vAlign w:val="center"/>
            <w:hideMark/>
          </w:tcPr>
          <w:p w14:paraId="262CAE05"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0.64%</w:t>
            </w:r>
          </w:p>
        </w:tc>
        <w:tc>
          <w:tcPr>
            <w:tcW w:w="3559" w:type="dxa"/>
            <w:tcBorders>
              <w:top w:val="nil"/>
              <w:left w:val="nil"/>
              <w:bottom w:val="nil"/>
              <w:right w:val="single" w:sz="4" w:space="0" w:color="auto"/>
            </w:tcBorders>
            <w:noWrap/>
            <w:vAlign w:val="center"/>
            <w:hideMark/>
          </w:tcPr>
          <w:p w14:paraId="1B1CCEE9"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0.00064%</w:t>
            </w:r>
          </w:p>
        </w:tc>
      </w:tr>
      <w:tr w:rsidR="002C312D" w:rsidRPr="00AB6071" w14:paraId="17B8F679" w14:textId="77777777" w:rsidTr="00E528FD">
        <w:trPr>
          <w:trHeight w:val="300"/>
        </w:trPr>
        <w:tc>
          <w:tcPr>
            <w:tcW w:w="1780" w:type="dxa"/>
            <w:tcBorders>
              <w:top w:val="nil"/>
              <w:left w:val="single" w:sz="4" w:space="0" w:color="auto"/>
              <w:bottom w:val="single" w:sz="4" w:space="0" w:color="auto"/>
              <w:right w:val="nil"/>
            </w:tcBorders>
            <w:noWrap/>
            <w:vAlign w:val="bottom"/>
            <w:hideMark/>
          </w:tcPr>
          <w:p w14:paraId="4C5A7CDF"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May-18</w:t>
            </w:r>
          </w:p>
        </w:tc>
        <w:tc>
          <w:tcPr>
            <w:tcW w:w="3040" w:type="dxa"/>
            <w:tcBorders>
              <w:top w:val="nil"/>
              <w:left w:val="single" w:sz="4" w:space="0" w:color="auto"/>
              <w:bottom w:val="single" w:sz="4" w:space="0" w:color="auto"/>
              <w:right w:val="single" w:sz="4" w:space="0" w:color="auto"/>
            </w:tcBorders>
            <w:noWrap/>
            <w:vAlign w:val="center"/>
            <w:hideMark/>
          </w:tcPr>
          <w:p w14:paraId="467567DB"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1.69%</w:t>
            </w:r>
          </w:p>
        </w:tc>
        <w:tc>
          <w:tcPr>
            <w:tcW w:w="3559" w:type="dxa"/>
            <w:tcBorders>
              <w:top w:val="nil"/>
              <w:left w:val="nil"/>
              <w:bottom w:val="single" w:sz="4" w:space="0" w:color="auto"/>
              <w:right w:val="single" w:sz="4" w:space="0" w:color="auto"/>
            </w:tcBorders>
            <w:noWrap/>
            <w:vAlign w:val="center"/>
            <w:hideMark/>
          </w:tcPr>
          <w:p w14:paraId="211E052B" w14:textId="77777777" w:rsidR="002C312D" w:rsidRPr="00AB6071" w:rsidRDefault="002C312D" w:rsidP="00AB6071">
            <w:pPr>
              <w:spacing w:line="288" w:lineRule="auto"/>
              <w:rPr>
                <w:rFonts w:ascii="Arial" w:hAnsi="Arial" w:cs="Arial"/>
                <w:color w:val="000000"/>
                <w:sz w:val="20"/>
                <w:lang w:val="en-ZA" w:eastAsia="en-ZA"/>
              </w:rPr>
            </w:pPr>
            <w:r w:rsidRPr="00AB6071">
              <w:rPr>
                <w:rFonts w:ascii="Arial" w:hAnsi="Arial" w:cs="Arial"/>
                <w:color w:val="000000"/>
                <w:sz w:val="20"/>
                <w:lang w:val="en-ZA" w:eastAsia="en-ZA"/>
              </w:rPr>
              <w:t>0.00169%</w:t>
            </w:r>
          </w:p>
        </w:tc>
      </w:tr>
      <w:tr w:rsidR="00E528FD" w:rsidRPr="00AB6071" w14:paraId="321D7CF4" w14:textId="77777777" w:rsidTr="00E528FD">
        <w:trPr>
          <w:trHeight w:val="1520"/>
        </w:trPr>
        <w:tc>
          <w:tcPr>
            <w:tcW w:w="1780" w:type="dxa"/>
            <w:tcBorders>
              <w:top w:val="single" w:sz="4" w:space="0" w:color="auto"/>
              <w:left w:val="single" w:sz="4" w:space="0" w:color="auto"/>
              <w:bottom w:val="single" w:sz="4" w:space="0" w:color="auto"/>
              <w:right w:val="nil"/>
            </w:tcBorders>
            <w:noWrap/>
            <w:hideMark/>
          </w:tcPr>
          <w:p w14:paraId="4B3289DB"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Feb-18</w:t>
            </w:r>
          </w:p>
          <w:p w14:paraId="6CDF7BC9"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Nov-17</w:t>
            </w:r>
          </w:p>
          <w:p w14:paraId="549CB711"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Aug-17</w:t>
            </w:r>
          </w:p>
          <w:p w14:paraId="1B27FA7E"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May-17</w:t>
            </w:r>
          </w:p>
          <w:p w14:paraId="2DD44E1C" w14:textId="67C17C2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Feb-17</w:t>
            </w:r>
          </w:p>
        </w:tc>
        <w:tc>
          <w:tcPr>
            <w:tcW w:w="3040" w:type="dxa"/>
            <w:tcBorders>
              <w:top w:val="single" w:sz="4" w:space="0" w:color="auto"/>
              <w:left w:val="single" w:sz="4" w:space="0" w:color="auto"/>
              <w:bottom w:val="single" w:sz="4" w:space="0" w:color="auto"/>
              <w:right w:val="single" w:sz="4" w:space="0" w:color="auto"/>
            </w:tcBorders>
            <w:noWrap/>
            <w:hideMark/>
          </w:tcPr>
          <w:p w14:paraId="4AC521FE"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0.55%</w:t>
            </w:r>
          </w:p>
          <w:p w14:paraId="07B5EE62"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1.45%</w:t>
            </w:r>
          </w:p>
          <w:p w14:paraId="6986E8A9"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0.55%</w:t>
            </w:r>
          </w:p>
          <w:p w14:paraId="77988B09"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2.02%</w:t>
            </w:r>
          </w:p>
          <w:p w14:paraId="44C54CF5" w14:textId="321ACAD6"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0.62%</w:t>
            </w:r>
          </w:p>
        </w:tc>
        <w:tc>
          <w:tcPr>
            <w:tcW w:w="3559" w:type="dxa"/>
            <w:tcBorders>
              <w:top w:val="single" w:sz="4" w:space="0" w:color="auto"/>
              <w:left w:val="nil"/>
              <w:bottom w:val="single" w:sz="4" w:space="0" w:color="auto"/>
              <w:right w:val="single" w:sz="4" w:space="0" w:color="auto"/>
            </w:tcBorders>
            <w:noWrap/>
            <w:hideMark/>
          </w:tcPr>
          <w:p w14:paraId="2DE5E4EA"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0.00055%</w:t>
            </w:r>
          </w:p>
          <w:p w14:paraId="678BA033"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0.00145%</w:t>
            </w:r>
          </w:p>
          <w:p w14:paraId="728DB165"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0.00055%</w:t>
            </w:r>
          </w:p>
          <w:p w14:paraId="40DB6CF9" w14:textId="77777777"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0.00202%</w:t>
            </w:r>
          </w:p>
          <w:p w14:paraId="6026231A" w14:textId="3CF05AE8" w:rsidR="00E528FD" w:rsidRPr="00AB6071" w:rsidRDefault="00E528FD" w:rsidP="00E528FD">
            <w:pPr>
              <w:spacing w:line="288" w:lineRule="auto"/>
              <w:jc w:val="left"/>
              <w:rPr>
                <w:rFonts w:ascii="Arial" w:hAnsi="Arial" w:cs="Arial"/>
                <w:color w:val="000000"/>
                <w:sz w:val="20"/>
                <w:lang w:val="en-ZA" w:eastAsia="en-ZA"/>
              </w:rPr>
            </w:pPr>
            <w:r w:rsidRPr="00AB6071">
              <w:rPr>
                <w:rFonts w:ascii="Arial" w:hAnsi="Arial" w:cs="Arial"/>
                <w:color w:val="000000"/>
                <w:sz w:val="20"/>
                <w:lang w:val="en-ZA" w:eastAsia="en-ZA"/>
              </w:rPr>
              <w:t>0.00062%</w:t>
            </w:r>
          </w:p>
        </w:tc>
      </w:tr>
    </w:tbl>
    <w:p w14:paraId="531B8423" w14:textId="61A9135F" w:rsidR="00507940" w:rsidRPr="00AB6071" w:rsidRDefault="00507940"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243CA961" w14:textId="43F49249" w:rsidR="00E13D86" w:rsidRPr="00AB6071" w:rsidRDefault="00507940"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Average annual rebalance costs were slightly less than half a basis point (0.005%) per annum over the period.</w:t>
      </w:r>
    </w:p>
    <w:p w14:paraId="5212CB12" w14:textId="77777777" w:rsidR="00D42766" w:rsidRPr="00AB6071" w:rsidRDefault="00D42766"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31BF3343" w14:textId="2A747E02" w:rsidR="00970A47"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 xml:space="preserve">Where the weighting of a particular constituent in the financial index exceeds the Fund’s investment restrictions, the Investment Manager will, as a priority objective, look to remedy the situation taking into account the interests of Shareholders and the Fund. </w:t>
      </w:r>
    </w:p>
    <w:p w14:paraId="748B41CE" w14:textId="703DB84C" w:rsidR="00250D15" w:rsidRPr="00D90B79"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b/>
          <w:sz w:val="20"/>
        </w:rPr>
      </w:pPr>
    </w:p>
    <w:p w14:paraId="1D686C4E" w14:textId="16FECEFC"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r w:rsidRPr="00AB6071">
        <w:rPr>
          <w:rFonts w:ascii="Arial" w:hAnsi="Arial" w:cs="Arial"/>
          <w:b/>
          <w:sz w:val="20"/>
        </w:rPr>
        <w:t>Risk Management Process</w:t>
      </w:r>
    </w:p>
    <w:p w14:paraId="4A0FB88A"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p>
    <w:p w14:paraId="5827558E" w14:textId="21DD67C3"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 xml:space="preserve">The Investment Manager employs a risk management process which enables it to accurately measure, monitor and manage the various risks associated with </w:t>
      </w:r>
      <w:bookmarkStart w:id="21" w:name="_Hlk524957876"/>
      <w:r w:rsidRPr="00AB6071">
        <w:rPr>
          <w:rFonts w:ascii="Arial" w:hAnsi="Arial" w:cs="Arial"/>
          <w:sz w:val="20"/>
        </w:rPr>
        <w:t>financial derivative instruments</w:t>
      </w:r>
      <w:bookmarkEnd w:id="21"/>
      <w:r w:rsidRPr="00AB6071">
        <w:rPr>
          <w:rFonts w:ascii="Arial" w:hAnsi="Arial" w:cs="Arial"/>
          <w:sz w:val="20"/>
        </w:rPr>
        <w:t>. Details of the financial derivative instruments</w:t>
      </w:r>
      <w:r w:rsidRPr="00AB6071" w:rsidDel="00C21C71">
        <w:rPr>
          <w:rFonts w:ascii="Arial" w:hAnsi="Arial" w:cs="Arial"/>
          <w:sz w:val="20"/>
        </w:rPr>
        <w:t xml:space="preserve"> </w:t>
      </w:r>
      <w:r w:rsidRPr="00AB6071">
        <w:rPr>
          <w:rFonts w:ascii="Arial" w:hAnsi="Arial" w:cs="Arial"/>
          <w:sz w:val="20"/>
        </w:rPr>
        <w:t xml:space="preserve">which may be used are set out in the risk management process filed with the Central Bank. The Manager or its delegate will, on request, provide supplementary information to Shareholders relating to the risk management methods employed, including the quantitative limits that are applied and any recent developments in the risk and yield characteristics of the main categories of investments of the Fund. Any types of financial derivative instruments not included in the risk management process will not be used until such time as a revised submission has been provided to the Central Bank. Appendix III of the Prospectus gives further description of the types of financial derivative </w:t>
      </w:r>
      <w:r w:rsidR="006751DB">
        <w:rPr>
          <w:rFonts w:ascii="Arial" w:hAnsi="Arial" w:cs="Arial"/>
          <w:sz w:val="20"/>
        </w:rPr>
        <w:t>i</w:t>
      </w:r>
      <w:r w:rsidRPr="00AB6071">
        <w:rPr>
          <w:rFonts w:ascii="Arial" w:hAnsi="Arial" w:cs="Arial"/>
          <w:sz w:val="20"/>
        </w:rPr>
        <w:t xml:space="preserve">nstruments and how they may be used by the Fund.  </w:t>
      </w:r>
    </w:p>
    <w:p w14:paraId="780A171A"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36253D94"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r w:rsidRPr="00AB6071">
        <w:rPr>
          <w:rFonts w:ascii="Arial" w:hAnsi="Arial" w:cs="Arial"/>
          <w:b/>
          <w:sz w:val="20"/>
        </w:rPr>
        <w:t>Global Exposure, Leverage and Gearing</w:t>
      </w:r>
    </w:p>
    <w:p w14:paraId="4DB8176E"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p>
    <w:p w14:paraId="2A67A770"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 xml:space="preserve">The Fund’s global exposure (as prescribed in the Central Bank UCITS Regulations) relating to financial derivative instruments shall not exceed 100% of the Net Asset Value of the Fund and will be measured using the commitment approach. </w:t>
      </w:r>
    </w:p>
    <w:p w14:paraId="658F2A4F"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56E03D3B" w14:textId="77777777" w:rsidR="009C239C"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The Fund will use the commitment approach to measure global exposure provided, however, that the Investment Manager will not permit the Fund to be geared or leveraged by the use of financial derivative instruments (or otherwise through investment in any security). The Investment Manager shall ensure that the Fund is not leveraged through its use of financial derivative instruments by ensuring that any financial derivative instrument positions adopted may be hedged or netted, in accordance with the requirements of the Central Bank UCITS Regulations.</w:t>
      </w:r>
    </w:p>
    <w:p w14:paraId="0745D295" w14:textId="77777777" w:rsidR="00E528FD"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lastRenderedPageBreak/>
        <w:br/>
        <w:t xml:space="preserve">Derivatives margin accounts will be funded from the Fund’s cash in order to maintain derivatives exposure entered into. The Fund will however not utilise these margin accounts to gear or leverage the Fund. The Fund must ensure that the over the counter derivative instruments utilised are covered at all times (i.e. no uncovered positions will be permitted) by holding the underlying security or an equivalent amount of cash or other sufficient liquid assets to cover the exposure to the over the counter derivative instruments, in accordance with the requirements of the Central Bank UCITS Regulations. </w:t>
      </w:r>
    </w:p>
    <w:p w14:paraId="6507AE42" w14:textId="33E561A0"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72B4F7EF"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The Fund will not invest in Regulated Funds, including exchange traded funds, which are capable of obtaining leveraged exposure to underlying assets.</w:t>
      </w:r>
    </w:p>
    <w:p w14:paraId="2398837D"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sz w:val="20"/>
        </w:rPr>
      </w:pPr>
      <w:r w:rsidRPr="00AB6071">
        <w:rPr>
          <w:rFonts w:ascii="Arial" w:hAnsi="Arial" w:cs="Arial"/>
          <w:b/>
          <w:sz w:val="20"/>
        </w:rPr>
        <w:br/>
        <w:t>Hedged Share Classes</w:t>
      </w:r>
    </w:p>
    <w:p w14:paraId="4E6E98FA" w14:textId="77777777" w:rsidR="00C63195" w:rsidRDefault="00C6319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0CF14E85" w14:textId="424FD173" w:rsidR="008364CE" w:rsidRDefault="00B52AEF"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The</w:t>
      </w:r>
      <w:r w:rsidR="00250D15" w:rsidRPr="00AB6071">
        <w:rPr>
          <w:rFonts w:ascii="Arial" w:hAnsi="Arial" w:cs="Arial"/>
          <w:sz w:val="20"/>
        </w:rPr>
        <w:t xml:space="preserve"> Class</w:t>
      </w:r>
      <w:r w:rsidRPr="00AB6071">
        <w:rPr>
          <w:rFonts w:ascii="Arial" w:hAnsi="Arial" w:cs="Arial"/>
          <w:sz w:val="20"/>
        </w:rPr>
        <w:t xml:space="preserve"> D</w:t>
      </w:r>
      <w:r w:rsidR="00B96169">
        <w:rPr>
          <w:rFonts w:ascii="Arial" w:hAnsi="Arial" w:cs="Arial"/>
          <w:sz w:val="20"/>
        </w:rPr>
        <w:t xml:space="preserve"> and Class F</w:t>
      </w:r>
      <w:r w:rsidRPr="00AB6071">
        <w:rPr>
          <w:rFonts w:ascii="Arial" w:hAnsi="Arial" w:cs="Arial"/>
          <w:sz w:val="20"/>
        </w:rPr>
        <w:t xml:space="preserve"> Shares</w:t>
      </w:r>
      <w:r w:rsidR="00250D15" w:rsidRPr="00AB6071">
        <w:rPr>
          <w:rFonts w:ascii="Arial" w:hAnsi="Arial" w:cs="Arial"/>
          <w:sz w:val="20"/>
        </w:rPr>
        <w:t xml:space="preserve"> </w:t>
      </w:r>
      <w:r w:rsidRPr="00AB6071">
        <w:rPr>
          <w:rFonts w:ascii="Arial" w:hAnsi="Arial" w:cs="Arial"/>
          <w:sz w:val="20"/>
        </w:rPr>
        <w:t>will</w:t>
      </w:r>
      <w:r w:rsidR="00250D15" w:rsidRPr="00AB6071">
        <w:rPr>
          <w:rFonts w:ascii="Arial" w:hAnsi="Arial" w:cs="Arial"/>
          <w:sz w:val="20"/>
        </w:rPr>
        <w:t xml:space="preserve"> be hedged against exchange rate fluctuation risks between the designated currency of the Class and the Base Currency. The hedging restrictions for the Fund are set out in the main body of the Prospectus. </w:t>
      </w:r>
    </w:p>
    <w:p w14:paraId="68DC61B4" w14:textId="7B05485D"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41602C34" w14:textId="77777777" w:rsidR="00B7331F"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I</w:t>
      </w:r>
      <w:r w:rsidRPr="00AB6071">
        <w:rPr>
          <w:rFonts w:ascii="Arial" w:hAnsi="Arial" w:cs="Arial"/>
          <w:bCs/>
          <w:sz w:val="20"/>
        </w:rPr>
        <w:t>nvestors’ attention is drawn to</w:t>
      </w:r>
      <w:r w:rsidRPr="00AB6071">
        <w:rPr>
          <w:rFonts w:ascii="Arial" w:hAnsi="Arial" w:cs="Arial"/>
          <w:sz w:val="20"/>
        </w:rPr>
        <w:t xml:space="preserve"> the sections of the Prospectus entitled “Hedged Classes”, “Risk Factors” – “Share Currency Designation Risk” and “Risk Factors” – “Currency Risk”. </w:t>
      </w:r>
    </w:p>
    <w:p w14:paraId="425F9FC9" w14:textId="77777777" w:rsidR="00B96169" w:rsidRPr="00AB6071" w:rsidRDefault="00B96169"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bCs/>
          <w:sz w:val="20"/>
        </w:rPr>
      </w:pPr>
    </w:p>
    <w:p w14:paraId="004114CD"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b/>
          <w:bCs/>
          <w:sz w:val="20"/>
        </w:rPr>
        <w:t>Borrowings</w:t>
      </w:r>
      <w:r w:rsidRPr="00AB6071">
        <w:rPr>
          <w:rFonts w:ascii="Arial" w:hAnsi="Arial" w:cs="Arial"/>
          <w:b/>
          <w:bCs/>
          <w:sz w:val="20"/>
        </w:rPr>
        <w:br/>
      </w:r>
    </w:p>
    <w:p w14:paraId="796CD6AA" w14:textId="77777777" w:rsidR="0080281F"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sz w:val="20"/>
        </w:rPr>
        <w:t>Borrowing will not be utilised for the purposes of gearing. Borrowings on behalf of the Fund may only be made on a temporary basis and the aggregate amount of such borrowings may not exceed 10% of the Net Asset Value of the Fund. The Fund may borrow to meet redemption requests.</w:t>
      </w:r>
    </w:p>
    <w:p w14:paraId="5BC7B3B2" w14:textId="0E55F374"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sz w:val="20"/>
        </w:rPr>
      </w:pPr>
    </w:p>
    <w:p w14:paraId="7A8AC70A" w14:textId="77777777" w:rsidR="000B5203" w:rsidRDefault="00250D15" w:rsidP="000B5203">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color w:val="000000"/>
          <w:sz w:val="20"/>
        </w:rPr>
        <w:t xml:space="preserve">The investment and borrowing restrictions for the Fund are set out in the main body of the Prospectus. </w:t>
      </w:r>
      <w:r w:rsidRPr="00AB6071">
        <w:rPr>
          <w:rFonts w:ascii="Arial" w:hAnsi="Arial" w:cs="Arial"/>
          <w:sz w:val="20"/>
        </w:rPr>
        <w:t xml:space="preserve">The ICAV on behalf of the Fund may acquire foreign currency by means of back to back loan agreements. The Manager shall ensure that a Fund with foreign currency borrowings which exceed the value of a back-to-back deposit treats that excess as borrowings for the purpose of Regulation 103 of </w:t>
      </w:r>
      <w:r w:rsidR="006751DB">
        <w:rPr>
          <w:rFonts w:ascii="Arial" w:hAnsi="Arial" w:cs="Arial"/>
          <w:sz w:val="20"/>
        </w:rPr>
        <w:t>t</w:t>
      </w:r>
      <w:r w:rsidRPr="00AB6071">
        <w:rPr>
          <w:rFonts w:ascii="Arial" w:hAnsi="Arial" w:cs="Arial"/>
          <w:sz w:val="20"/>
        </w:rPr>
        <w:t>h</w:t>
      </w:r>
      <w:r w:rsidR="000B5203">
        <w:rPr>
          <w:rFonts w:ascii="Arial" w:hAnsi="Arial" w:cs="Arial"/>
          <w:sz w:val="20"/>
        </w:rPr>
        <w:t>e</w:t>
      </w:r>
      <w:r w:rsidRPr="00AB6071">
        <w:rPr>
          <w:rFonts w:ascii="Arial" w:hAnsi="Arial" w:cs="Arial"/>
          <w:sz w:val="20"/>
        </w:rPr>
        <w:t xml:space="preserve"> UCITS Regulations.</w:t>
      </w:r>
    </w:p>
    <w:p w14:paraId="37B12D95" w14:textId="77777777" w:rsidR="000B5203" w:rsidRDefault="000B5203" w:rsidP="000B5203">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p>
    <w:p w14:paraId="4026B77F" w14:textId="77777777" w:rsidR="000B5203" w:rsidRDefault="00250D15" w:rsidP="000B5203">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b/>
          <w:color w:val="000000" w:themeColor="text1"/>
          <w:sz w:val="20"/>
        </w:rPr>
        <w:t>Offer</w:t>
      </w:r>
      <w:r w:rsidRPr="00AB6071">
        <w:rPr>
          <w:rFonts w:ascii="Arial" w:hAnsi="Arial" w:cs="Arial"/>
          <w:b/>
          <w:color w:val="000000" w:themeColor="text1"/>
          <w:sz w:val="20"/>
        </w:rPr>
        <w:br/>
      </w:r>
    </w:p>
    <w:p w14:paraId="32E214A8" w14:textId="19B8C7FB" w:rsidR="00250D15" w:rsidRDefault="00BC1F15" w:rsidP="000B5203">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575733">
        <w:rPr>
          <w:rFonts w:ascii="Arial" w:hAnsi="Arial" w:cs="Arial"/>
          <w:color w:val="000000" w:themeColor="text1"/>
          <w:sz w:val="20"/>
        </w:rPr>
        <w:t>The initial offer period for the Classes of Shares in the Fund in which no Shares have yet been issued ("</w:t>
      </w:r>
      <w:r w:rsidRPr="00575733">
        <w:rPr>
          <w:rFonts w:ascii="Arial" w:hAnsi="Arial" w:cs="Arial"/>
          <w:b/>
          <w:bCs/>
          <w:color w:val="000000" w:themeColor="text1"/>
          <w:sz w:val="20"/>
        </w:rPr>
        <w:t>Unlaunched Classes</w:t>
      </w:r>
      <w:r w:rsidRPr="00575733">
        <w:rPr>
          <w:rFonts w:ascii="Arial" w:hAnsi="Arial" w:cs="Arial"/>
          <w:color w:val="000000" w:themeColor="text1"/>
          <w:sz w:val="20"/>
        </w:rPr>
        <w:t>") will run from 9:00 a.m. (Irish time) on the first Business Day subsequent to the date of this Supplement until 5:00 p.m. (Irish time) on 9 December 2026 (the “</w:t>
      </w:r>
      <w:r w:rsidRPr="00575733">
        <w:rPr>
          <w:rFonts w:ascii="Arial" w:hAnsi="Arial" w:cs="Arial"/>
          <w:b/>
          <w:bCs/>
          <w:color w:val="000000" w:themeColor="text1"/>
          <w:sz w:val="20"/>
        </w:rPr>
        <w:t>Initial Offer Period</w:t>
      </w:r>
      <w:r w:rsidRPr="00575733">
        <w:rPr>
          <w:rFonts w:ascii="Arial" w:hAnsi="Arial" w:cs="Arial"/>
          <w:color w:val="000000" w:themeColor="text1"/>
          <w:sz w:val="20"/>
        </w:rPr>
        <w:t xml:space="preserve">”) at the initial issue price of </w:t>
      </w:r>
      <w:r w:rsidR="000B5203" w:rsidRPr="00575733">
        <w:rPr>
          <w:rFonts w:ascii="Arial" w:hAnsi="Arial" w:cs="Arial"/>
          <w:color w:val="000000" w:themeColor="text1"/>
          <w:sz w:val="20"/>
        </w:rPr>
        <w:t>ZAR 10</w:t>
      </w:r>
      <w:r w:rsidR="004C3783">
        <w:rPr>
          <w:rFonts w:ascii="Arial" w:hAnsi="Arial" w:cs="Arial"/>
          <w:color w:val="000000" w:themeColor="text1"/>
          <w:sz w:val="20"/>
        </w:rPr>
        <w:t xml:space="preserve"> or USD 10 </w:t>
      </w:r>
      <w:r w:rsidRPr="00575733">
        <w:rPr>
          <w:rFonts w:ascii="Arial" w:hAnsi="Arial" w:cs="Arial"/>
          <w:color w:val="000000" w:themeColor="text1"/>
          <w:sz w:val="20"/>
        </w:rPr>
        <w:t>(the “</w:t>
      </w:r>
      <w:r w:rsidRPr="00575733">
        <w:rPr>
          <w:rFonts w:ascii="Arial" w:hAnsi="Arial" w:cs="Arial"/>
          <w:b/>
          <w:bCs/>
          <w:color w:val="000000" w:themeColor="text1"/>
          <w:sz w:val="20"/>
        </w:rPr>
        <w:t>Initial Price</w:t>
      </w:r>
      <w:r w:rsidRPr="00575733">
        <w:rPr>
          <w:rFonts w:ascii="Arial" w:hAnsi="Arial" w:cs="Arial"/>
          <w:color w:val="000000" w:themeColor="text1"/>
          <w:sz w:val="20"/>
        </w:rPr>
        <w:t>”)</w:t>
      </w:r>
      <w:r w:rsidR="00C05181">
        <w:rPr>
          <w:rFonts w:ascii="Arial" w:hAnsi="Arial" w:cs="Arial"/>
          <w:color w:val="000000" w:themeColor="text1"/>
          <w:sz w:val="20"/>
        </w:rPr>
        <w:t xml:space="preserve">, </w:t>
      </w:r>
      <w:r w:rsidR="004C3783">
        <w:rPr>
          <w:rFonts w:ascii="Arial" w:hAnsi="Arial" w:cs="Arial"/>
          <w:color w:val="000000" w:themeColor="text1"/>
          <w:sz w:val="20"/>
        </w:rPr>
        <w:t xml:space="preserve">as appropriate </w:t>
      </w:r>
      <w:r w:rsidR="00C05181">
        <w:rPr>
          <w:rFonts w:ascii="Arial" w:hAnsi="Arial" w:cs="Arial"/>
          <w:color w:val="000000" w:themeColor="text1"/>
          <w:sz w:val="20"/>
        </w:rPr>
        <w:t xml:space="preserve">depending on the currency in which the relevant Class of Shares is denominated respectively, </w:t>
      </w:r>
      <w:r w:rsidRPr="00575733">
        <w:rPr>
          <w:rFonts w:ascii="Arial" w:hAnsi="Arial" w:cs="Arial"/>
          <w:color w:val="000000" w:themeColor="text1"/>
          <w:sz w:val="20"/>
        </w:rPr>
        <w:t xml:space="preserve">and subject to acceptance of applications for Shares by the ICAV, will be issued for the first time on the first Dealing Day after expiry of the Initial Offer Period in respect of that Class. The Initial Offer Period in respect of each Class may be extended or shortened by the Manager in accordance with the requirements of the Central Bank. Thereafter, Shares of the relevant Class will be available at the Net Asset Value per Share.  Details of which Classes are available for subscription as Unlaunched Classes are available from the Manager. </w:t>
      </w:r>
    </w:p>
    <w:p w14:paraId="140A4550" w14:textId="77777777" w:rsidR="00575733" w:rsidRPr="00575733" w:rsidRDefault="00575733" w:rsidP="000B5203">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3D29D9B5" w14:textId="52E4E190" w:rsidR="009C239C" w:rsidRPr="00575733" w:rsidRDefault="00250D15" w:rsidP="00575733">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r w:rsidRPr="00575733">
        <w:rPr>
          <w:rFonts w:ascii="Arial" w:hAnsi="Arial" w:cs="Arial"/>
          <w:color w:val="000000" w:themeColor="text1"/>
          <w:sz w:val="20"/>
        </w:rPr>
        <w:t>Applications for Shares in the Fund must be received before the Dealing Deadline. </w:t>
      </w:r>
      <w:r w:rsidR="00A25953" w:rsidRPr="00575733">
        <w:rPr>
          <w:rFonts w:ascii="Arial" w:hAnsi="Arial" w:cs="Arial"/>
          <w:color w:val="000000" w:themeColor="text1"/>
          <w:sz w:val="20"/>
        </w:rPr>
        <w:t xml:space="preserve">Notwithstanding this deadline, the Manager may determine in its sole discretion to accept such later subscription applications in exceptional circumstances and provided that such subscriptions for Shares are received before the Valuation Point on the relevant Dealing Day. </w:t>
      </w:r>
      <w:r w:rsidRPr="00575733">
        <w:rPr>
          <w:rFonts w:ascii="Arial" w:hAnsi="Arial" w:cs="Arial"/>
          <w:color w:val="000000" w:themeColor="text1"/>
          <w:sz w:val="20"/>
        </w:rPr>
        <w:t>Confirmed cleared funds must be received</w:t>
      </w:r>
      <w:r w:rsidR="00A25953" w:rsidRPr="00575733">
        <w:rPr>
          <w:rFonts w:ascii="Arial" w:hAnsi="Arial" w:cs="Arial"/>
          <w:color w:val="000000" w:themeColor="text1"/>
          <w:sz w:val="20"/>
        </w:rPr>
        <w:t xml:space="preserve"> no later than one Business Day after</w:t>
      </w:r>
      <w:r w:rsidRPr="00575733">
        <w:rPr>
          <w:rFonts w:ascii="Arial" w:hAnsi="Arial" w:cs="Arial"/>
          <w:color w:val="000000" w:themeColor="text1"/>
          <w:sz w:val="20"/>
        </w:rPr>
        <w:t xml:space="preserve"> </w:t>
      </w:r>
      <w:r w:rsidR="001B3750" w:rsidRPr="00575733">
        <w:rPr>
          <w:rFonts w:ascii="Arial" w:hAnsi="Arial" w:cs="Arial"/>
          <w:color w:val="000000" w:themeColor="text1"/>
          <w:sz w:val="20"/>
        </w:rPr>
        <w:t>the Dealing Deadline</w:t>
      </w:r>
      <w:r w:rsidR="001B3750" w:rsidRPr="00575733" w:rsidDel="001B3750">
        <w:rPr>
          <w:rFonts w:ascii="Arial" w:hAnsi="Arial" w:cs="Arial"/>
          <w:color w:val="000000" w:themeColor="text1"/>
          <w:sz w:val="20"/>
        </w:rPr>
        <w:t xml:space="preserve"> </w:t>
      </w:r>
      <w:r w:rsidR="00A650C7" w:rsidRPr="00575733">
        <w:rPr>
          <w:rFonts w:ascii="Arial" w:hAnsi="Arial" w:cs="Arial"/>
          <w:color w:val="000000" w:themeColor="text1"/>
          <w:sz w:val="20"/>
        </w:rPr>
        <w:t xml:space="preserve">or such later deadline as the Manager may from time to </w:t>
      </w:r>
      <w:r w:rsidR="00A650C7" w:rsidRPr="00575733">
        <w:rPr>
          <w:rFonts w:ascii="Arial" w:hAnsi="Arial" w:cs="Arial"/>
          <w:color w:val="000000" w:themeColor="text1"/>
          <w:sz w:val="20"/>
        </w:rPr>
        <w:lastRenderedPageBreak/>
        <w:t>time permit in accordance with the requirements of the Central Bank</w:t>
      </w:r>
      <w:r w:rsidR="00A25953" w:rsidRPr="00575733">
        <w:rPr>
          <w:rFonts w:ascii="Arial" w:hAnsi="Arial" w:cs="Arial"/>
          <w:color w:val="000000" w:themeColor="text1"/>
          <w:sz w:val="20"/>
        </w:rPr>
        <w:t xml:space="preserve"> of Ireland, provided that</w:t>
      </w:r>
      <w:r w:rsidR="007861F0" w:rsidRPr="00575733">
        <w:rPr>
          <w:rFonts w:ascii="Arial" w:hAnsi="Arial" w:cs="Arial"/>
          <w:color w:val="000000" w:themeColor="text1"/>
          <w:sz w:val="20"/>
        </w:rPr>
        <w:t xml:space="preserve">, without prejudice to the Manager's ability to cancel subscriptions in the event of non-clearance of funds as set out in the Prospectus, </w:t>
      </w:r>
      <w:r w:rsidR="00A25953" w:rsidRPr="00575733">
        <w:rPr>
          <w:rFonts w:ascii="Arial" w:hAnsi="Arial" w:cs="Arial"/>
          <w:color w:val="000000" w:themeColor="text1"/>
          <w:sz w:val="20"/>
        </w:rPr>
        <w:t>the Manager reserves the right to defer the issue of Shares until receipt of subscription monies by the Fund</w:t>
      </w:r>
      <w:r w:rsidRPr="00575733">
        <w:rPr>
          <w:rFonts w:ascii="Arial" w:hAnsi="Arial" w:cs="Arial"/>
          <w:color w:val="000000" w:themeColor="text1"/>
          <w:sz w:val="20"/>
        </w:rPr>
        <w:t>.  All such subscriptions will be dealt with on a forward pricing basis i.e. by reference to the Subscription Price for Shares calculated as at the Valuation Point on the relevant Dealing Day.  Any applications therefore received after the Valuation Point on the relevant Dealing Day, or cleared funds not received</w:t>
      </w:r>
      <w:r w:rsidR="00A25953" w:rsidRPr="00575733">
        <w:rPr>
          <w:rFonts w:ascii="Arial" w:hAnsi="Arial" w:cs="Arial"/>
          <w:color w:val="000000" w:themeColor="text1"/>
          <w:sz w:val="20"/>
        </w:rPr>
        <w:t xml:space="preserve"> one Business Day after</w:t>
      </w:r>
      <w:r w:rsidRPr="00575733">
        <w:rPr>
          <w:rFonts w:ascii="Arial" w:hAnsi="Arial" w:cs="Arial"/>
          <w:color w:val="000000" w:themeColor="text1"/>
          <w:sz w:val="20"/>
        </w:rPr>
        <w:t xml:space="preserve"> the relevant Dealing Day</w:t>
      </w:r>
      <w:r w:rsidR="007861F0" w:rsidRPr="00575733">
        <w:rPr>
          <w:rFonts w:ascii="Arial" w:hAnsi="Arial" w:cs="Arial"/>
          <w:color w:val="000000" w:themeColor="text1"/>
          <w:sz w:val="20"/>
        </w:rPr>
        <w:t xml:space="preserve"> </w:t>
      </w:r>
      <w:r w:rsidR="00A25953" w:rsidRPr="00575733">
        <w:rPr>
          <w:rFonts w:ascii="Arial" w:hAnsi="Arial" w:cs="Arial"/>
          <w:color w:val="000000" w:themeColor="text1"/>
          <w:sz w:val="20"/>
        </w:rPr>
        <w:t>(or such later deadline as the Manager may from time to time permit</w:t>
      </w:r>
      <w:r w:rsidR="00951E53" w:rsidRPr="00575733">
        <w:rPr>
          <w:rFonts w:ascii="Arial" w:hAnsi="Arial" w:cs="Arial"/>
          <w:color w:val="000000" w:themeColor="text1"/>
          <w:sz w:val="20"/>
        </w:rPr>
        <w:t>)</w:t>
      </w:r>
      <w:r w:rsidRPr="00575733">
        <w:rPr>
          <w:rFonts w:ascii="Arial" w:hAnsi="Arial" w:cs="Arial"/>
          <w:color w:val="000000" w:themeColor="text1"/>
          <w:sz w:val="20"/>
        </w:rPr>
        <w:t>, will be held over until the next Dealing Day.</w:t>
      </w:r>
    </w:p>
    <w:p w14:paraId="64D42230" w14:textId="77777777" w:rsidR="00944861" w:rsidRDefault="00944861"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eastAsiaTheme="minorHAnsi" w:hAnsi="Arial" w:cs="Arial"/>
          <w:b/>
          <w:bCs/>
          <w:color w:val="000000" w:themeColor="text1"/>
          <w:sz w:val="20"/>
          <w:lang w:val="en-IE"/>
        </w:rPr>
      </w:pPr>
    </w:p>
    <w:p w14:paraId="5ADF8D88" w14:textId="1C2A62DA" w:rsidR="00250D15"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eastAsiaTheme="minorHAnsi" w:hAnsi="Arial" w:cs="Arial"/>
          <w:b/>
          <w:bCs/>
          <w:color w:val="000000" w:themeColor="text1"/>
          <w:sz w:val="20"/>
          <w:lang w:val="en-IE"/>
        </w:rPr>
      </w:pPr>
      <w:r w:rsidRPr="00AB6071">
        <w:rPr>
          <w:rFonts w:ascii="Arial" w:eastAsiaTheme="minorHAnsi" w:hAnsi="Arial" w:cs="Arial"/>
          <w:b/>
          <w:bCs/>
          <w:color w:val="000000" w:themeColor="text1"/>
          <w:sz w:val="20"/>
          <w:lang w:val="en-IE"/>
        </w:rPr>
        <w:t>Subscription Price</w:t>
      </w:r>
    </w:p>
    <w:p w14:paraId="211F0A5B" w14:textId="77777777" w:rsidR="00944861" w:rsidRPr="00AB6071" w:rsidRDefault="00944861"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4D4573F2"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eastAsiaTheme="minorHAnsi" w:hAnsi="Arial" w:cs="Arial"/>
          <w:b/>
          <w:bCs/>
          <w:color w:val="000000" w:themeColor="text1"/>
          <w:sz w:val="20"/>
          <w:lang w:val="en-IE"/>
        </w:rPr>
      </w:pPr>
      <w:r w:rsidRPr="00AB6071">
        <w:rPr>
          <w:rFonts w:ascii="Arial" w:hAnsi="Arial" w:cs="Arial"/>
          <w:color w:val="000000" w:themeColor="text1"/>
          <w:sz w:val="20"/>
        </w:rPr>
        <w:t xml:space="preserve">Notwithstanding anything to the contrary set out in the Prospectus, </w:t>
      </w:r>
      <w:r w:rsidRPr="00AB6071">
        <w:rPr>
          <w:rFonts w:ascii="Arial" w:hAnsi="Arial" w:cs="Arial"/>
          <w:color w:val="000000" w:themeColor="text1"/>
          <w:sz w:val="20"/>
          <w:lang w:val="en-IE"/>
        </w:rPr>
        <w:t>the Subscription Price shall be adjusted as may be necessary to round the resulting amount to the nearest three decimal places, as the Directors deem appropriate, of the currency in which such Shares are designated.</w:t>
      </w:r>
      <w:r w:rsidRPr="00AB6071">
        <w:rPr>
          <w:rFonts w:ascii="Arial" w:hAnsi="Arial" w:cs="Arial"/>
          <w:color w:val="000000" w:themeColor="text1"/>
          <w:sz w:val="20"/>
          <w:lang w:val="en-IE"/>
        </w:rPr>
        <w:br/>
      </w:r>
    </w:p>
    <w:p w14:paraId="7C7DE713"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eastAsiaTheme="minorHAnsi" w:hAnsi="Arial" w:cs="Arial"/>
          <w:b/>
          <w:bCs/>
          <w:color w:val="000000" w:themeColor="text1"/>
          <w:sz w:val="20"/>
          <w:lang w:val="en-IE"/>
        </w:rPr>
      </w:pPr>
      <w:r w:rsidRPr="00AB6071">
        <w:rPr>
          <w:rFonts w:ascii="Arial" w:eastAsiaTheme="minorHAnsi" w:hAnsi="Arial" w:cs="Arial"/>
          <w:b/>
          <w:bCs/>
          <w:color w:val="000000" w:themeColor="text1"/>
          <w:sz w:val="20"/>
          <w:lang w:val="en-IE"/>
        </w:rPr>
        <w:t>Redemption Price</w:t>
      </w:r>
    </w:p>
    <w:p w14:paraId="0516ADC8"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52157818"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color w:val="000000" w:themeColor="text1"/>
          <w:sz w:val="20"/>
        </w:rPr>
      </w:pPr>
      <w:r w:rsidRPr="00AB6071">
        <w:rPr>
          <w:rFonts w:ascii="Arial" w:hAnsi="Arial" w:cs="Arial"/>
          <w:color w:val="000000" w:themeColor="text1"/>
          <w:sz w:val="20"/>
        </w:rPr>
        <w:t xml:space="preserve">Notwithstanding anything to the contrary set out in the Prospectus, </w:t>
      </w:r>
      <w:r w:rsidRPr="00AB6071">
        <w:rPr>
          <w:rFonts w:ascii="Arial" w:hAnsi="Arial" w:cs="Arial"/>
          <w:color w:val="000000" w:themeColor="text1"/>
          <w:sz w:val="20"/>
          <w:lang w:val="en-IE"/>
        </w:rPr>
        <w:t>the Redemption Price shall be adjusted as may be necessary to round the resulting amount to the nearest three decimal places, as the Directors deem appropriate, of the currency in which such Shares are designated.</w:t>
      </w:r>
      <w:r w:rsidRPr="00AB6071">
        <w:rPr>
          <w:rFonts w:ascii="Arial" w:hAnsi="Arial" w:cs="Arial"/>
          <w:color w:val="000000" w:themeColor="text1"/>
          <w:sz w:val="20"/>
          <w:lang w:val="en-IE"/>
        </w:rPr>
        <w:br/>
      </w:r>
    </w:p>
    <w:p w14:paraId="1CAD1187" w14:textId="77777777" w:rsidR="00250D15"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b/>
          <w:color w:val="000000" w:themeColor="text1"/>
          <w:sz w:val="20"/>
        </w:rPr>
      </w:pPr>
      <w:r w:rsidRPr="00AB6071">
        <w:rPr>
          <w:rFonts w:ascii="Arial" w:hAnsi="Arial" w:cs="Arial"/>
          <w:b/>
          <w:color w:val="000000" w:themeColor="text1"/>
          <w:sz w:val="20"/>
        </w:rPr>
        <w:t>Distribution Policy</w:t>
      </w:r>
    </w:p>
    <w:p w14:paraId="37B45DDC" w14:textId="77777777" w:rsidR="00577FD7" w:rsidRPr="00AB6071" w:rsidRDefault="00577FD7"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color w:val="000000" w:themeColor="text1"/>
          <w:sz w:val="20"/>
        </w:rPr>
      </w:pPr>
    </w:p>
    <w:p w14:paraId="05F886E0" w14:textId="702A7EEF" w:rsidR="003D2DBA" w:rsidRPr="00AB6071" w:rsidRDefault="00250D15" w:rsidP="00AB6071">
      <w:pPr>
        <w:pBdr>
          <w:top w:val="single" w:sz="6" w:space="0" w:color="FFFFFF"/>
          <w:left w:val="single" w:sz="6" w:space="0" w:color="FFFFFF"/>
          <w:bottom w:val="single" w:sz="6" w:space="25"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Arial" w:hAnsi="Arial" w:cs="Arial"/>
          <w:sz w:val="20"/>
        </w:rPr>
      </w:pPr>
      <w:r w:rsidRPr="00AB6071">
        <w:rPr>
          <w:rFonts w:ascii="Arial" w:hAnsi="Arial" w:cs="Arial"/>
          <w:color w:val="000000" w:themeColor="text1"/>
          <w:sz w:val="20"/>
        </w:rPr>
        <w:t>It is not currently intended to make distributions to the Shareholders. In the event that the Directors determine to declare dividends, the Supplement will be updated accordingly and all Shareholders will be notified in advance.</w:t>
      </w:r>
    </w:p>
    <w:sectPr w:rsidR="003D2DBA" w:rsidRPr="00AB6071" w:rsidSect="004553FA">
      <w:headerReference w:type="even" r:id="rId18"/>
      <w:headerReference w:type="default" r:id="rId19"/>
      <w:footerReference w:type="even" r:id="rId20"/>
      <w:footerReference w:type="default" r:id="rId21"/>
      <w:headerReference w:type="first" r:id="rId22"/>
      <w:footerReference w:type="first" r:id="rId23"/>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28C6C" w14:textId="77777777" w:rsidR="00F26340" w:rsidRDefault="00F26340">
      <w:r>
        <w:separator/>
      </w:r>
    </w:p>
  </w:endnote>
  <w:endnote w:type="continuationSeparator" w:id="0">
    <w:p w14:paraId="15ED4EB8" w14:textId="77777777" w:rsidR="00F26340" w:rsidRDefault="00F26340">
      <w:r>
        <w:continuationSeparator/>
      </w:r>
    </w:p>
  </w:endnote>
  <w:endnote w:type="continuationNotice" w:id="1">
    <w:p w14:paraId="117C4B24" w14:textId="77777777" w:rsidR="00F26340" w:rsidRDefault="00F26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8867" w14:textId="77777777" w:rsidR="00FE63B6" w:rsidRDefault="00FE63B6" w:rsidP="009D6CFF">
    <w:pPr>
      <w:pStyle w:val="Footer"/>
    </w:pPr>
    <w:r>
      <w:rPr>
        <w:sz w:val="14"/>
      </w:rPr>
      <w:t>/8764127v23</w:t>
    </w:r>
  </w:p>
  <w:sdt>
    <w:sdtPr>
      <w:alias w:val="BHDC Content"/>
      <w:tag w:val="69B0B076673B49309303DFFE8AE2B005DOCID_FOOTER"/>
      <w:id w:val="-1014067423"/>
      <w:placeholder>
        <w:docPart w:val="301146BD6E1E484BBCAC8B0FDE1668A4"/>
      </w:placeholder>
    </w:sdtPr>
    <w:sdtEndPr/>
    <w:sdtContent>
      <w:p w14:paraId="101995FD" w14:textId="3FB41D95" w:rsidR="00FE63B6" w:rsidRDefault="00AE5350" w:rsidP="001D025D">
        <w:pPr>
          <w:pStyle w:val="Footer"/>
        </w:pPr>
        <w:r>
          <w:t>56201173.5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D55DC" w14:textId="7EB18728" w:rsidR="00FE63B6" w:rsidRPr="004553FA" w:rsidRDefault="00FE63B6" w:rsidP="009D6CFF">
    <w:pPr>
      <w:pStyle w:val="Footer"/>
      <w:jc w:val="center"/>
      <w:rPr>
        <w:rFonts w:ascii="Arial" w:hAnsi="Arial" w:cs="Arial"/>
        <w:noProof/>
        <w:sz w:val="20"/>
      </w:rPr>
    </w:pPr>
    <w:r w:rsidRPr="004553FA">
      <w:rPr>
        <w:rFonts w:ascii="Arial" w:hAnsi="Arial" w:cs="Arial"/>
        <w:sz w:val="20"/>
      </w:rPr>
      <w:fldChar w:fldCharType="begin"/>
    </w:r>
    <w:r w:rsidRPr="004553FA">
      <w:rPr>
        <w:rFonts w:ascii="Arial" w:hAnsi="Arial" w:cs="Arial"/>
        <w:sz w:val="20"/>
      </w:rPr>
      <w:instrText xml:space="preserve"> PAGE   \* MERGEFORMAT </w:instrText>
    </w:r>
    <w:r w:rsidRPr="004553FA">
      <w:rPr>
        <w:rFonts w:ascii="Arial" w:hAnsi="Arial" w:cs="Arial"/>
        <w:sz w:val="20"/>
      </w:rPr>
      <w:fldChar w:fldCharType="separate"/>
    </w:r>
    <w:r>
      <w:rPr>
        <w:rFonts w:ascii="Arial" w:hAnsi="Arial" w:cs="Arial"/>
        <w:noProof/>
        <w:sz w:val="20"/>
      </w:rPr>
      <w:t>17</w:t>
    </w:r>
    <w:r w:rsidRPr="004553FA">
      <w:rPr>
        <w:rFonts w:ascii="Arial" w:hAnsi="Arial" w:cs="Arial"/>
        <w:noProof/>
        <w:sz w:val="20"/>
      </w:rPr>
      <w:fldChar w:fldCharType="end"/>
    </w:r>
  </w:p>
  <w:p w14:paraId="7F338474" w14:textId="77777777" w:rsidR="00FE63B6" w:rsidRDefault="00FE63B6" w:rsidP="009D6CFF">
    <w:pPr>
      <w:pStyle w:val="Footer"/>
      <w:jc w:val="center"/>
    </w:pPr>
  </w:p>
  <w:p w14:paraId="766D446F" w14:textId="77777777" w:rsidR="00FE63B6" w:rsidRPr="00D90B79" w:rsidRDefault="00FE63B6" w:rsidP="00D90B79">
    <w:pPr>
      <w:pStyle w:val="Footer"/>
      <w:jc w:val="left"/>
    </w:pPr>
  </w:p>
  <w:sdt>
    <w:sdtPr>
      <w:alias w:val="BHDC Content"/>
      <w:tag w:val="69B0B076673B49309303DFFE8AE2B005DOCID_FOOTER"/>
      <w:id w:val="1474792385"/>
      <w:placeholder>
        <w:docPart w:val="EB2B5D36F11A4C75A867D8357798B3D8"/>
      </w:placeholder>
    </w:sdtPr>
    <w:sdtEndPr>
      <w:rPr>
        <w:rFonts w:ascii="Arial" w:hAnsi="Arial" w:cs="Arial"/>
        <w:sz w:val="16"/>
        <w:szCs w:val="16"/>
      </w:rPr>
    </w:sdtEndPr>
    <w:sdtContent>
      <w:p w14:paraId="3A57742D" w14:textId="3D565774" w:rsidR="00FE63B6" w:rsidRPr="00575733" w:rsidRDefault="00AE5350" w:rsidP="001D025D">
        <w:pPr>
          <w:pStyle w:val="Footer"/>
          <w:rPr>
            <w:rFonts w:ascii="Arial" w:hAnsi="Arial" w:cs="Arial"/>
            <w:sz w:val="16"/>
            <w:szCs w:val="16"/>
          </w:rPr>
        </w:pPr>
        <w:r>
          <w:rPr>
            <w:rFonts w:ascii="Arial" w:hAnsi="Arial" w:cs="Arial"/>
            <w:sz w:val="16"/>
            <w:szCs w:val="16"/>
          </w:rPr>
          <w:t>56201173.5</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B066" w14:textId="77777777" w:rsidR="00FE63B6" w:rsidRDefault="00FE63B6" w:rsidP="009D6CFF">
    <w:pPr>
      <w:pStyle w:val="Footer"/>
    </w:pPr>
    <w:r>
      <w:rPr>
        <w:sz w:val="14"/>
      </w:rPr>
      <w:t>/8764127v23</w:t>
    </w:r>
  </w:p>
  <w:sdt>
    <w:sdtPr>
      <w:alias w:val="BHDC Content"/>
      <w:tag w:val="69B0B076673B49309303DFFE8AE2B005DOCID_FOOTER"/>
      <w:id w:val="545339928"/>
      <w:placeholder>
        <w:docPart w:val="F55D284D59C745AFB89CA66751E1222A"/>
      </w:placeholder>
    </w:sdtPr>
    <w:sdtEndPr/>
    <w:sdtContent>
      <w:p w14:paraId="05430BB5" w14:textId="3038B8CA" w:rsidR="00FE63B6" w:rsidRDefault="00AE5350" w:rsidP="001D025D">
        <w:pPr>
          <w:pStyle w:val="Footer"/>
        </w:pPr>
        <w:r>
          <w:t>56201173.5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4DC04" w14:textId="77777777" w:rsidR="00F26340" w:rsidRDefault="00F26340">
      <w:r>
        <w:separator/>
      </w:r>
    </w:p>
  </w:footnote>
  <w:footnote w:type="continuationSeparator" w:id="0">
    <w:p w14:paraId="249CB21B" w14:textId="77777777" w:rsidR="00F26340" w:rsidRDefault="00F26340">
      <w:r>
        <w:continuationSeparator/>
      </w:r>
    </w:p>
  </w:footnote>
  <w:footnote w:type="continuationNotice" w:id="1">
    <w:p w14:paraId="2C34C1F2" w14:textId="77777777" w:rsidR="00F26340" w:rsidRDefault="00F263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04CA" w14:textId="77777777" w:rsidR="00575733" w:rsidRDefault="00575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06BD" w14:textId="77777777" w:rsidR="00575733" w:rsidRDefault="00575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7E85" w14:textId="77777777" w:rsidR="00575733" w:rsidRDefault="00575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2CE2"/>
    <w:multiLevelType w:val="hybridMultilevel"/>
    <w:tmpl w:val="16040698"/>
    <w:lvl w:ilvl="0" w:tplc="17F4301C">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8E6173E"/>
    <w:multiLevelType w:val="multilevel"/>
    <w:tmpl w:val="6C7AF404"/>
    <w:lvl w:ilvl="0">
      <w:start w:val="1"/>
      <w:numFmt w:val="decimal"/>
      <w:pStyle w:val="SA-Level1Paragraph"/>
      <w:lvlText w:val="%1."/>
      <w:lvlJc w:val="left"/>
      <w:pPr>
        <w:tabs>
          <w:tab w:val="num" w:pos="567"/>
        </w:tabs>
        <w:ind w:left="567" w:hanging="567"/>
      </w:pPr>
      <w:rPr>
        <w:rFonts w:ascii="Times New Roman" w:hAnsi="Times New Roman" w:hint="default"/>
        <w:b/>
        <w:i w:val="0"/>
        <w:sz w:val="24"/>
        <w:u w:val="none"/>
      </w:rPr>
    </w:lvl>
    <w:lvl w:ilvl="1">
      <w:start w:val="1"/>
      <w:numFmt w:val="lowerLetter"/>
      <w:pStyle w:val="SA-Level2Paragraph"/>
      <w:lvlText w:val="(%2)"/>
      <w:lvlJc w:val="left"/>
      <w:pPr>
        <w:tabs>
          <w:tab w:val="num" w:pos="1134"/>
        </w:tabs>
        <w:ind w:left="1134" w:hanging="567"/>
      </w:pPr>
      <w:rPr>
        <w:rFonts w:ascii="Times New Roman" w:hAnsi="Times New Roman" w:hint="default"/>
        <w:b w:val="0"/>
        <w:i w:val="0"/>
        <w:sz w:val="24"/>
        <w:u w:val="none"/>
      </w:rPr>
    </w:lvl>
    <w:lvl w:ilvl="2">
      <w:start w:val="1"/>
      <w:numFmt w:val="lowerRoman"/>
      <w:pStyle w:val="SA-Level3Paragraph"/>
      <w:lvlText w:val="(%3)"/>
      <w:lvlJc w:val="left"/>
      <w:pPr>
        <w:tabs>
          <w:tab w:val="num" w:pos="1854"/>
        </w:tabs>
        <w:ind w:left="1701" w:hanging="567"/>
      </w:pPr>
      <w:rPr>
        <w:rFonts w:ascii="Times New Roman" w:hAnsi="Times New Roman" w:hint="default"/>
        <w:b w:val="0"/>
        <w:i w:val="0"/>
        <w:sz w:val="24"/>
      </w:rPr>
    </w:lvl>
    <w:lvl w:ilvl="3">
      <w:start w:val="1"/>
      <w:numFmt w:val="upperLetter"/>
      <w:pStyle w:val="SA-Level4Paragraph"/>
      <w:lvlText w:val="%4."/>
      <w:lvlJc w:val="left"/>
      <w:pPr>
        <w:tabs>
          <w:tab w:val="num" w:pos="2268"/>
        </w:tabs>
        <w:ind w:left="2268" w:hanging="567"/>
      </w:pPr>
      <w:rPr>
        <w:rFonts w:ascii="Times New Roman" w:hAnsi="Times New Roman" w:hint="default"/>
        <w:b w:val="0"/>
        <w:i w:val="0"/>
        <w:sz w:val="24"/>
      </w:rPr>
    </w:lvl>
    <w:lvl w:ilvl="4">
      <w:start w:val="1"/>
      <w:numFmt w:val="upperRoman"/>
      <w:pStyle w:val="SA-Level5Paragraph"/>
      <w:lvlText w:val="%5."/>
      <w:lvlJc w:val="left"/>
      <w:pPr>
        <w:tabs>
          <w:tab w:val="num" w:pos="2835"/>
        </w:tabs>
        <w:ind w:left="2835" w:hanging="567"/>
      </w:pPr>
      <w:rPr>
        <w:rFonts w:ascii="Times New Roman" w:hAnsi="Times New Roman" w:hint="default"/>
        <w:b w:val="0"/>
        <w:i w:val="0"/>
        <w:sz w:val="24"/>
      </w:rPr>
    </w:lvl>
    <w:lvl w:ilvl="5">
      <w:start w:val="1"/>
      <w:numFmt w:val="decimal"/>
      <w:pStyle w:val="SA-Level6Paragraph"/>
      <w:lvlText w:val="(%6)"/>
      <w:lvlJc w:val="left"/>
      <w:pPr>
        <w:tabs>
          <w:tab w:val="num" w:pos="3402"/>
        </w:tabs>
        <w:ind w:left="3402" w:hanging="567"/>
      </w:pPr>
      <w:rPr>
        <w:rFonts w:ascii="Times New Roman" w:hAnsi="Times New Roman" w:hint="default"/>
        <w:b w:val="0"/>
        <w:i w:val="0"/>
        <w:sz w:val="24"/>
      </w:rPr>
    </w:lvl>
    <w:lvl w:ilvl="6">
      <w:start w:val="1"/>
      <w:numFmt w:val="lowerLetter"/>
      <w:pStyle w:val="SA-Level7Paragraph"/>
      <w:lvlText w:val="%7."/>
      <w:lvlJc w:val="left"/>
      <w:pPr>
        <w:tabs>
          <w:tab w:val="num" w:pos="3969"/>
        </w:tabs>
        <w:ind w:left="3969" w:hanging="567"/>
      </w:pPr>
      <w:rPr>
        <w:rFonts w:ascii="Times New Roman" w:hAnsi="Times New Roman" w:hint="default"/>
        <w:b w:val="0"/>
        <w:i w:val="0"/>
        <w:sz w:val="24"/>
      </w:rPr>
    </w:lvl>
    <w:lvl w:ilvl="7">
      <w:start w:val="1"/>
      <w:numFmt w:val="lowerRoman"/>
      <w:pStyle w:val="SA-Level8Paragraph"/>
      <w:lvlText w:val="%8."/>
      <w:lvlJc w:val="left"/>
      <w:pPr>
        <w:tabs>
          <w:tab w:val="num" w:pos="4536"/>
        </w:tabs>
        <w:ind w:left="4536" w:hanging="567"/>
      </w:pPr>
      <w:rPr>
        <w:rFonts w:ascii="Times New Roman" w:hAnsi="Times New Roman" w:hint="default"/>
        <w:b w:val="0"/>
        <w:i w:val="0"/>
        <w:sz w:val="24"/>
      </w:rPr>
    </w:lvl>
    <w:lvl w:ilvl="8">
      <w:start w:val="1"/>
      <w:numFmt w:val="none"/>
      <w:lvlRestart w:val="0"/>
      <w:suff w:val="nothing"/>
      <w:lvlText w:val="%9"/>
      <w:lvlJc w:val="left"/>
      <w:pPr>
        <w:ind w:left="5103" w:hanging="567"/>
      </w:pPr>
      <w:rPr>
        <w:rFonts w:ascii="Times New Roman" w:hAnsi="Times New Roman" w:hint="default"/>
        <w:b w:val="0"/>
        <w:i w:val="0"/>
        <w:sz w:val="24"/>
      </w:rPr>
    </w:lvl>
  </w:abstractNum>
  <w:abstractNum w:abstractNumId="2" w15:restartNumberingAfterBreak="0">
    <w:nsid w:val="18467999"/>
    <w:multiLevelType w:val="hybridMultilevel"/>
    <w:tmpl w:val="69CE9022"/>
    <w:lvl w:ilvl="0" w:tplc="81F40A7A">
      <w:numFmt w:val="bullet"/>
      <w:lvlText w:val="-"/>
      <w:lvlJc w:val="left"/>
      <w:pPr>
        <w:ind w:left="410" w:hanging="360"/>
      </w:pPr>
      <w:rPr>
        <w:rFonts w:ascii="Times New Roman" w:eastAsia="Times New Roman" w:hAnsi="Times New Roman" w:cs="Times New Roman" w:hint="default"/>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3" w15:restartNumberingAfterBreak="0">
    <w:nsid w:val="1A5F6497"/>
    <w:multiLevelType w:val="hybridMultilevel"/>
    <w:tmpl w:val="B59249C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1992131"/>
    <w:multiLevelType w:val="hybridMultilevel"/>
    <w:tmpl w:val="0090F06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7743CC1"/>
    <w:multiLevelType w:val="hybridMultilevel"/>
    <w:tmpl w:val="BF22083E"/>
    <w:lvl w:ilvl="0" w:tplc="A976890C">
      <w:start w:val="1"/>
      <w:numFmt w:val="bullet"/>
      <w:pStyle w:val="DEBullet"/>
      <w:lvlText w:val=""/>
      <w:lvlJc w:val="left"/>
      <w:pPr>
        <w:ind w:left="1440" w:hanging="360"/>
      </w:pPr>
      <w:rPr>
        <w:rFonts w:ascii="Symbol" w:hAnsi="Symbol" w:hint="default"/>
        <w:color w:val="auto"/>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3B3A69C8"/>
    <w:multiLevelType w:val="hybridMultilevel"/>
    <w:tmpl w:val="3A563F3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331025E"/>
    <w:multiLevelType w:val="hybridMultilevel"/>
    <w:tmpl w:val="996C45D2"/>
    <w:lvl w:ilvl="0" w:tplc="512680E6">
      <w:numFmt w:val="bullet"/>
      <w:lvlText w:val="-"/>
      <w:lvlJc w:val="left"/>
      <w:pPr>
        <w:ind w:left="410" w:hanging="360"/>
      </w:pPr>
      <w:rPr>
        <w:rFonts w:ascii="Times New Roman" w:eastAsia="Times New Roman" w:hAnsi="Times New Roman" w:cs="Times New Roman" w:hint="default"/>
      </w:rPr>
    </w:lvl>
    <w:lvl w:ilvl="1" w:tplc="18090003" w:tentative="1">
      <w:start w:val="1"/>
      <w:numFmt w:val="bullet"/>
      <w:lvlText w:val="o"/>
      <w:lvlJc w:val="left"/>
      <w:pPr>
        <w:ind w:left="1130" w:hanging="360"/>
      </w:pPr>
      <w:rPr>
        <w:rFonts w:ascii="Courier New" w:hAnsi="Courier New" w:cs="Courier New" w:hint="default"/>
      </w:rPr>
    </w:lvl>
    <w:lvl w:ilvl="2" w:tplc="18090005" w:tentative="1">
      <w:start w:val="1"/>
      <w:numFmt w:val="bullet"/>
      <w:lvlText w:val=""/>
      <w:lvlJc w:val="left"/>
      <w:pPr>
        <w:ind w:left="1850" w:hanging="360"/>
      </w:pPr>
      <w:rPr>
        <w:rFonts w:ascii="Wingdings" w:hAnsi="Wingdings" w:hint="default"/>
      </w:rPr>
    </w:lvl>
    <w:lvl w:ilvl="3" w:tplc="18090001" w:tentative="1">
      <w:start w:val="1"/>
      <w:numFmt w:val="bullet"/>
      <w:lvlText w:val=""/>
      <w:lvlJc w:val="left"/>
      <w:pPr>
        <w:ind w:left="2570" w:hanging="360"/>
      </w:pPr>
      <w:rPr>
        <w:rFonts w:ascii="Symbol" w:hAnsi="Symbol" w:hint="default"/>
      </w:rPr>
    </w:lvl>
    <w:lvl w:ilvl="4" w:tplc="18090003" w:tentative="1">
      <w:start w:val="1"/>
      <w:numFmt w:val="bullet"/>
      <w:lvlText w:val="o"/>
      <w:lvlJc w:val="left"/>
      <w:pPr>
        <w:ind w:left="3290" w:hanging="360"/>
      </w:pPr>
      <w:rPr>
        <w:rFonts w:ascii="Courier New" w:hAnsi="Courier New" w:cs="Courier New" w:hint="default"/>
      </w:rPr>
    </w:lvl>
    <w:lvl w:ilvl="5" w:tplc="18090005" w:tentative="1">
      <w:start w:val="1"/>
      <w:numFmt w:val="bullet"/>
      <w:lvlText w:val=""/>
      <w:lvlJc w:val="left"/>
      <w:pPr>
        <w:ind w:left="4010" w:hanging="360"/>
      </w:pPr>
      <w:rPr>
        <w:rFonts w:ascii="Wingdings" w:hAnsi="Wingdings" w:hint="default"/>
      </w:rPr>
    </w:lvl>
    <w:lvl w:ilvl="6" w:tplc="18090001" w:tentative="1">
      <w:start w:val="1"/>
      <w:numFmt w:val="bullet"/>
      <w:lvlText w:val=""/>
      <w:lvlJc w:val="left"/>
      <w:pPr>
        <w:ind w:left="4730" w:hanging="360"/>
      </w:pPr>
      <w:rPr>
        <w:rFonts w:ascii="Symbol" w:hAnsi="Symbol" w:hint="default"/>
      </w:rPr>
    </w:lvl>
    <w:lvl w:ilvl="7" w:tplc="18090003" w:tentative="1">
      <w:start w:val="1"/>
      <w:numFmt w:val="bullet"/>
      <w:lvlText w:val="o"/>
      <w:lvlJc w:val="left"/>
      <w:pPr>
        <w:ind w:left="5450" w:hanging="360"/>
      </w:pPr>
      <w:rPr>
        <w:rFonts w:ascii="Courier New" w:hAnsi="Courier New" w:cs="Courier New" w:hint="default"/>
      </w:rPr>
    </w:lvl>
    <w:lvl w:ilvl="8" w:tplc="18090005" w:tentative="1">
      <w:start w:val="1"/>
      <w:numFmt w:val="bullet"/>
      <w:lvlText w:val=""/>
      <w:lvlJc w:val="left"/>
      <w:pPr>
        <w:ind w:left="6170" w:hanging="360"/>
      </w:pPr>
      <w:rPr>
        <w:rFonts w:ascii="Wingdings" w:hAnsi="Wingdings" w:hint="default"/>
      </w:rPr>
    </w:lvl>
  </w:abstractNum>
  <w:abstractNum w:abstractNumId="8" w15:restartNumberingAfterBreak="0">
    <w:nsid w:val="51E50C40"/>
    <w:multiLevelType w:val="hybridMultilevel"/>
    <w:tmpl w:val="15A47E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E2159E2"/>
    <w:multiLevelType w:val="multilevel"/>
    <w:tmpl w:val="6B4A6940"/>
    <w:lvl w:ilvl="0">
      <w:start w:val="1"/>
      <w:numFmt w:val="decimal"/>
      <w:pStyle w:val="LA-Level1Paragraph"/>
      <w:suff w:val="nothing"/>
      <w:lvlText w:val="SECTION %1.0 - "/>
      <w:lvlJc w:val="left"/>
      <w:pPr>
        <w:ind w:left="567" w:hanging="567"/>
      </w:pPr>
      <w:rPr>
        <w:rFonts w:ascii="Times New Roman" w:hAnsi="Times New Roman" w:hint="default"/>
        <w:b/>
        <w:i w:val="0"/>
        <w:sz w:val="24"/>
        <w:u w:val="none"/>
      </w:rPr>
    </w:lvl>
    <w:lvl w:ilvl="1">
      <w:start w:val="1"/>
      <w:numFmt w:val="decimal"/>
      <w:pStyle w:val="LA-Level2Paragraph"/>
      <w:lvlText w:val="%1.%2"/>
      <w:lvlJc w:val="left"/>
      <w:pPr>
        <w:tabs>
          <w:tab w:val="num" w:pos="567"/>
        </w:tabs>
        <w:ind w:left="567" w:hanging="567"/>
      </w:pPr>
      <w:rPr>
        <w:rFonts w:ascii="Times New Roman" w:hAnsi="Times New Roman" w:hint="default"/>
        <w:b/>
        <w:i w:val="0"/>
        <w:sz w:val="24"/>
        <w:u w:val="none"/>
      </w:rPr>
    </w:lvl>
    <w:lvl w:ilvl="2">
      <w:start w:val="1"/>
      <w:numFmt w:val="lowerLetter"/>
      <w:pStyle w:val="LA-Level3Paragraph"/>
      <w:lvlText w:val="(%3)"/>
      <w:lvlJc w:val="left"/>
      <w:pPr>
        <w:tabs>
          <w:tab w:val="num" w:pos="1134"/>
        </w:tabs>
        <w:ind w:left="1134" w:hanging="567"/>
      </w:pPr>
      <w:rPr>
        <w:rFonts w:ascii="Times New Roman" w:hAnsi="Times New Roman" w:hint="default"/>
        <w:b w:val="0"/>
        <w:i w:val="0"/>
        <w:sz w:val="24"/>
      </w:rPr>
    </w:lvl>
    <w:lvl w:ilvl="3">
      <w:start w:val="1"/>
      <w:numFmt w:val="lowerRoman"/>
      <w:pStyle w:val="LA-Level4Paragraph"/>
      <w:lvlText w:val="(%4)"/>
      <w:lvlJc w:val="left"/>
      <w:pPr>
        <w:tabs>
          <w:tab w:val="num" w:pos="1854"/>
        </w:tabs>
        <w:ind w:left="1701" w:hanging="567"/>
      </w:pPr>
      <w:rPr>
        <w:rFonts w:ascii="Times New Roman" w:hAnsi="Times New Roman" w:hint="default"/>
        <w:b w:val="0"/>
        <w:i w:val="0"/>
        <w:sz w:val="24"/>
      </w:rPr>
    </w:lvl>
    <w:lvl w:ilvl="4">
      <w:start w:val="1"/>
      <w:numFmt w:val="upperLetter"/>
      <w:pStyle w:val="LA-Level5Paragraph"/>
      <w:lvlText w:val="%5."/>
      <w:lvlJc w:val="left"/>
      <w:pPr>
        <w:tabs>
          <w:tab w:val="num" w:pos="2268"/>
        </w:tabs>
        <w:ind w:left="2268" w:hanging="567"/>
      </w:pPr>
      <w:rPr>
        <w:rFonts w:ascii="Times New Roman" w:hAnsi="Times New Roman" w:hint="default"/>
        <w:b w:val="0"/>
        <w:i w:val="0"/>
        <w:sz w:val="24"/>
      </w:rPr>
    </w:lvl>
    <w:lvl w:ilvl="5">
      <w:start w:val="1"/>
      <w:numFmt w:val="upperRoman"/>
      <w:pStyle w:val="LA-Level6Paragraph"/>
      <w:lvlText w:val="%6."/>
      <w:lvlJc w:val="left"/>
      <w:pPr>
        <w:tabs>
          <w:tab w:val="num" w:pos="2835"/>
        </w:tabs>
        <w:ind w:left="2835" w:hanging="567"/>
      </w:pPr>
      <w:rPr>
        <w:rFonts w:ascii="Times New Roman" w:hAnsi="Times New Roman" w:hint="default"/>
        <w:b w:val="0"/>
        <w:i w:val="0"/>
        <w:sz w:val="24"/>
      </w:rPr>
    </w:lvl>
    <w:lvl w:ilvl="6">
      <w:start w:val="1"/>
      <w:numFmt w:val="decimal"/>
      <w:lvlText w:val="(%7)"/>
      <w:lvlJc w:val="left"/>
      <w:pPr>
        <w:tabs>
          <w:tab w:val="num" w:pos="3402"/>
        </w:tabs>
        <w:ind w:left="3402" w:hanging="567"/>
      </w:pPr>
      <w:rPr>
        <w:rFonts w:ascii="Times New Roman" w:hAnsi="Times New Roman" w:hint="default"/>
        <w:b w:val="0"/>
        <w:i w:val="0"/>
        <w:sz w:val="24"/>
      </w:rPr>
    </w:lvl>
    <w:lvl w:ilvl="7">
      <w:start w:val="1"/>
      <w:numFmt w:val="lowerLetter"/>
      <w:pStyle w:val="LA-Level8Paragraph"/>
      <w:lvlText w:val="%8."/>
      <w:lvlJc w:val="left"/>
      <w:pPr>
        <w:tabs>
          <w:tab w:val="num" w:pos="3969"/>
        </w:tabs>
        <w:ind w:left="3969" w:hanging="567"/>
      </w:pPr>
      <w:rPr>
        <w:rFonts w:ascii="Times New Roman" w:hAnsi="Times New Roman" w:hint="default"/>
        <w:b w:val="0"/>
        <w:i w:val="0"/>
        <w:sz w:val="24"/>
      </w:rPr>
    </w:lvl>
    <w:lvl w:ilvl="8">
      <w:start w:val="1"/>
      <w:numFmt w:val="lowerRoman"/>
      <w:pStyle w:val="LA-Level9Paragraph"/>
      <w:lvlText w:val="%9."/>
      <w:lvlJc w:val="left"/>
      <w:pPr>
        <w:tabs>
          <w:tab w:val="num" w:pos="4536"/>
        </w:tabs>
        <w:ind w:left="4536" w:hanging="567"/>
      </w:pPr>
      <w:rPr>
        <w:rFonts w:ascii="Times New Roman" w:hAnsi="Times New Roman" w:hint="default"/>
        <w:b w:val="0"/>
        <w:i w:val="0"/>
        <w:sz w:val="24"/>
      </w:rPr>
    </w:lvl>
  </w:abstractNum>
  <w:abstractNum w:abstractNumId="10" w15:restartNumberingAfterBreak="0">
    <w:nsid w:val="61D57F85"/>
    <w:multiLevelType w:val="hybridMultilevel"/>
    <w:tmpl w:val="519E9E56"/>
    <w:lvl w:ilvl="0" w:tplc="41CCAEA4">
      <w:start w:val="1"/>
      <w:numFmt w:val="decimal"/>
      <w:lvlText w:val="%1."/>
      <w:lvlJc w:val="left"/>
      <w:pPr>
        <w:ind w:left="720" w:hanging="360"/>
      </w:pPr>
      <w:rPr>
        <w:rFonts w:hint="default"/>
        <w:sz w:val="16"/>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89F428C"/>
    <w:multiLevelType w:val="hybridMultilevel"/>
    <w:tmpl w:val="DD443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5757135">
    <w:abstractNumId w:val="5"/>
  </w:num>
  <w:num w:numId="2" w16cid:durableId="497499673">
    <w:abstractNumId w:val="9"/>
  </w:num>
  <w:num w:numId="3" w16cid:durableId="1918831134">
    <w:abstractNumId w:val="1"/>
  </w:num>
  <w:num w:numId="4" w16cid:durableId="1684743873">
    <w:abstractNumId w:val="11"/>
  </w:num>
  <w:num w:numId="5" w16cid:durableId="1989049874">
    <w:abstractNumId w:val="0"/>
  </w:num>
  <w:num w:numId="6" w16cid:durableId="1690597529">
    <w:abstractNumId w:val="8"/>
  </w:num>
  <w:num w:numId="7" w16cid:durableId="1747339110">
    <w:abstractNumId w:val="6"/>
  </w:num>
  <w:num w:numId="8" w16cid:durableId="874806954">
    <w:abstractNumId w:val="3"/>
  </w:num>
  <w:num w:numId="9" w16cid:durableId="1614358627">
    <w:abstractNumId w:val="10"/>
  </w:num>
  <w:num w:numId="10" w16cid:durableId="672686398">
    <w:abstractNumId w:val="4"/>
  </w:num>
  <w:num w:numId="11" w16cid:durableId="1487474976">
    <w:abstractNumId w:val="7"/>
  </w:num>
  <w:num w:numId="12" w16cid:durableId="2074974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A02B21"/>
    <w:rsid w:val="00000691"/>
    <w:rsid w:val="00001FAC"/>
    <w:rsid w:val="00002578"/>
    <w:rsid w:val="00003A88"/>
    <w:rsid w:val="00003DE4"/>
    <w:rsid w:val="00003EBE"/>
    <w:rsid w:val="0000447C"/>
    <w:rsid w:val="0000481D"/>
    <w:rsid w:val="000049F8"/>
    <w:rsid w:val="00004AEC"/>
    <w:rsid w:val="00005467"/>
    <w:rsid w:val="00007935"/>
    <w:rsid w:val="000134FA"/>
    <w:rsid w:val="000135C0"/>
    <w:rsid w:val="00014437"/>
    <w:rsid w:val="00014C17"/>
    <w:rsid w:val="000158A6"/>
    <w:rsid w:val="00015EDD"/>
    <w:rsid w:val="000161B9"/>
    <w:rsid w:val="000161E6"/>
    <w:rsid w:val="00016A9E"/>
    <w:rsid w:val="00017BFB"/>
    <w:rsid w:val="00022540"/>
    <w:rsid w:val="00025455"/>
    <w:rsid w:val="000257E7"/>
    <w:rsid w:val="00025C93"/>
    <w:rsid w:val="00026DE8"/>
    <w:rsid w:val="00026EF3"/>
    <w:rsid w:val="000274C2"/>
    <w:rsid w:val="000277FF"/>
    <w:rsid w:val="00027A30"/>
    <w:rsid w:val="00030769"/>
    <w:rsid w:val="00030828"/>
    <w:rsid w:val="00030845"/>
    <w:rsid w:val="00031411"/>
    <w:rsid w:val="00031EE6"/>
    <w:rsid w:val="00032636"/>
    <w:rsid w:val="00032852"/>
    <w:rsid w:val="00033196"/>
    <w:rsid w:val="000347B8"/>
    <w:rsid w:val="0003505B"/>
    <w:rsid w:val="0003660A"/>
    <w:rsid w:val="0003741F"/>
    <w:rsid w:val="00040121"/>
    <w:rsid w:val="0004046B"/>
    <w:rsid w:val="00040932"/>
    <w:rsid w:val="0004137D"/>
    <w:rsid w:val="00042A09"/>
    <w:rsid w:val="000430AF"/>
    <w:rsid w:val="0004648E"/>
    <w:rsid w:val="0004677B"/>
    <w:rsid w:val="000478FF"/>
    <w:rsid w:val="00047E7E"/>
    <w:rsid w:val="00047F69"/>
    <w:rsid w:val="000507DD"/>
    <w:rsid w:val="00050CD3"/>
    <w:rsid w:val="00052014"/>
    <w:rsid w:val="00053548"/>
    <w:rsid w:val="00053C85"/>
    <w:rsid w:val="00054A13"/>
    <w:rsid w:val="000553FA"/>
    <w:rsid w:val="00055EEC"/>
    <w:rsid w:val="00055EF6"/>
    <w:rsid w:val="00060F2B"/>
    <w:rsid w:val="00061691"/>
    <w:rsid w:val="00062410"/>
    <w:rsid w:val="000629E6"/>
    <w:rsid w:val="00064320"/>
    <w:rsid w:val="00065973"/>
    <w:rsid w:val="00065AC8"/>
    <w:rsid w:val="00070D0D"/>
    <w:rsid w:val="00071F6F"/>
    <w:rsid w:val="000723CE"/>
    <w:rsid w:val="00073B00"/>
    <w:rsid w:val="000742D4"/>
    <w:rsid w:val="00075DBC"/>
    <w:rsid w:val="000775C5"/>
    <w:rsid w:val="00077AE9"/>
    <w:rsid w:val="00080E1A"/>
    <w:rsid w:val="00082452"/>
    <w:rsid w:val="000824BE"/>
    <w:rsid w:val="00082B8A"/>
    <w:rsid w:val="00083804"/>
    <w:rsid w:val="0008385F"/>
    <w:rsid w:val="00085274"/>
    <w:rsid w:val="00085440"/>
    <w:rsid w:val="00085CB1"/>
    <w:rsid w:val="00086B8D"/>
    <w:rsid w:val="0009019B"/>
    <w:rsid w:val="00090261"/>
    <w:rsid w:val="00090562"/>
    <w:rsid w:val="00091821"/>
    <w:rsid w:val="00094708"/>
    <w:rsid w:val="0009635D"/>
    <w:rsid w:val="000964FA"/>
    <w:rsid w:val="00096590"/>
    <w:rsid w:val="00097C31"/>
    <w:rsid w:val="00097DFE"/>
    <w:rsid w:val="000A1A44"/>
    <w:rsid w:val="000A4470"/>
    <w:rsid w:val="000A5230"/>
    <w:rsid w:val="000A5AB7"/>
    <w:rsid w:val="000A6419"/>
    <w:rsid w:val="000A6826"/>
    <w:rsid w:val="000A69F2"/>
    <w:rsid w:val="000A739D"/>
    <w:rsid w:val="000B0176"/>
    <w:rsid w:val="000B02C2"/>
    <w:rsid w:val="000B1F8E"/>
    <w:rsid w:val="000B2063"/>
    <w:rsid w:val="000B25DE"/>
    <w:rsid w:val="000B2B10"/>
    <w:rsid w:val="000B2E0F"/>
    <w:rsid w:val="000B5203"/>
    <w:rsid w:val="000B637D"/>
    <w:rsid w:val="000B69D3"/>
    <w:rsid w:val="000B6F62"/>
    <w:rsid w:val="000C0D13"/>
    <w:rsid w:val="000C1A69"/>
    <w:rsid w:val="000C266A"/>
    <w:rsid w:val="000C2F37"/>
    <w:rsid w:val="000C4821"/>
    <w:rsid w:val="000C48C5"/>
    <w:rsid w:val="000C4945"/>
    <w:rsid w:val="000C572E"/>
    <w:rsid w:val="000D061A"/>
    <w:rsid w:val="000D2531"/>
    <w:rsid w:val="000D363D"/>
    <w:rsid w:val="000D374B"/>
    <w:rsid w:val="000D529B"/>
    <w:rsid w:val="000D630D"/>
    <w:rsid w:val="000D66B9"/>
    <w:rsid w:val="000D6750"/>
    <w:rsid w:val="000D76A2"/>
    <w:rsid w:val="000D79DA"/>
    <w:rsid w:val="000D7C4F"/>
    <w:rsid w:val="000E0CBC"/>
    <w:rsid w:val="000E1867"/>
    <w:rsid w:val="000E1961"/>
    <w:rsid w:val="000E47C4"/>
    <w:rsid w:val="000E4B2B"/>
    <w:rsid w:val="000E5B81"/>
    <w:rsid w:val="000E5E5F"/>
    <w:rsid w:val="000F006F"/>
    <w:rsid w:val="000F07A7"/>
    <w:rsid w:val="000F138B"/>
    <w:rsid w:val="000F2319"/>
    <w:rsid w:val="000F2621"/>
    <w:rsid w:val="000F2DFA"/>
    <w:rsid w:val="000F2FE7"/>
    <w:rsid w:val="000F3BCB"/>
    <w:rsid w:val="000F4149"/>
    <w:rsid w:val="000F4B18"/>
    <w:rsid w:val="000F5F6D"/>
    <w:rsid w:val="000F693B"/>
    <w:rsid w:val="000F6BEB"/>
    <w:rsid w:val="001003CD"/>
    <w:rsid w:val="00101A0B"/>
    <w:rsid w:val="00101DC8"/>
    <w:rsid w:val="00105F42"/>
    <w:rsid w:val="001076B3"/>
    <w:rsid w:val="001100D8"/>
    <w:rsid w:val="00111851"/>
    <w:rsid w:val="00112812"/>
    <w:rsid w:val="00113582"/>
    <w:rsid w:val="00114880"/>
    <w:rsid w:val="001167DC"/>
    <w:rsid w:val="0012044E"/>
    <w:rsid w:val="00120E30"/>
    <w:rsid w:val="00121177"/>
    <w:rsid w:val="00122312"/>
    <w:rsid w:val="00125EED"/>
    <w:rsid w:val="0012670C"/>
    <w:rsid w:val="00130CDC"/>
    <w:rsid w:val="00131602"/>
    <w:rsid w:val="00131BAF"/>
    <w:rsid w:val="00131C7F"/>
    <w:rsid w:val="00132069"/>
    <w:rsid w:val="00132D05"/>
    <w:rsid w:val="00132D69"/>
    <w:rsid w:val="00133B37"/>
    <w:rsid w:val="0013590C"/>
    <w:rsid w:val="00135B4E"/>
    <w:rsid w:val="00140A5C"/>
    <w:rsid w:val="001418D1"/>
    <w:rsid w:val="00141908"/>
    <w:rsid w:val="001424E0"/>
    <w:rsid w:val="0014287E"/>
    <w:rsid w:val="0014357B"/>
    <w:rsid w:val="001440B5"/>
    <w:rsid w:val="00145BC2"/>
    <w:rsid w:val="0014768C"/>
    <w:rsid w:val="00150E80"/>
    <w:rsid w:val="00153363"/>
    <w:rsid w:val="00154E47"/>
    <w:rsid w:val="001554A0"/>
    <w:rsid w:val="00155DA4"/>
    <w:rsid w:val="00155EDC"/>
    <w:rsid w:val="0015754B"/>
    <w:rsid w:val="00157861"/>
    <w:rsid w:val="00157AA7"/>
    <w:rsid w:val="00157BF5"/>
    <w:rsid w:val="00160F0E"/>
    <w:rsid w:val="00161397"/>
    <w:rsid w:val="001620C0"/>
    <w:rsid w:val="00162DD6"/>
    <w:rsid w:val="00163D6D"/>
    <w:rsid w:val="001640FE"/>
    <w:rsid w:val="0016500E"/>
    <w:rsid w:val="00165BC2"/>
    <w:rsid w:val="00165E74"/>
    <w:rsid w:val="00166C50"/>
    <w:rsid w:val="0016737F"/>
    <w:rsid w:val="00167DCA"/>
    <w:rsid w:val="00170079"/>
    <w:rsid w:val="001704E5"/>
    <w:rsid w:val="001705AA"/>
    <w:rsid w:val="00170E5A"/>
    <w:rsid w:val="00171953"/>
    <w:rsid w:val="00172EFB"/>
    <w:rsid w:val="00174204"/>
    <w:rsid w:val="0017432E"/>
    <w:rsid w:val="00174CE7"/>
    <w:rsid w:val="00174D7B"/>
    <w:rsid w:val="00174FFA"/>
    <w:rsid w:val="001750F2"/>
    <w:rsid w:val="001756FB"/>
    <w:rsid w:val="001772C8"/>
    <w:rsid w:val="00177379"/>
    <w:rsid w:val="00180789"/>
    <w:rsid w:val="0018115A"/>
    <w:rsid w:val="00182063"/>
    <w:rsid w:val="00182ACF"/>
    <w:rsid w:val="00183A12"/>
    <w:rsid w:val="00183ADD"/>
    <w:rsid w:val="00184200"/>
    <w:rsid w:val="00184A7A"/>
    <w:rsid w:val="00185907"/>
    <w:rsid w:val="00185CFE"/>
    <w:rsid w:val="001861C2"/>
    <w:rsid w:val="00186391"/>
    <w:rsid w:val="0018667D"/>
    <w:rsid w:val="0018701D"/>
    <w:rsid w:val="00187E36"/>
    <w:rsid w:val="00190319"/>
    <w:rsid w:val="00191DCB"/>
    <w:rsid w:val="00192581"/>
    <w:rsid w:val="00193736"/>
    <w:rsid w:val="00193E46"/>
    <w:rsid w:val="0019529E"/>
    <w:rsid w:val="001953E2"/>
    <w:rsid w:val="00196E72"/>
    <w:rsid w:val="001A0989"/>
    <w:rsid w:val="001A14A8"/>
    <w:rsid w:val="001A3189"/>
    <w:rsid w:val="001B0285"/>
    <w:rsid w:val="001B0D4A"/>
    <w:rsid w:val="001B0E78"/>
    <w:rsid w:val="001B290D"/>
    <w:rsid w:val="001B3750"/>
    <w:rsid w:val="001B38F0"/>
    <w:rsid w:val="001B5BB3"/>
    <w:rsid w:val="001B73D8"/>
    <w:rsid w:val="001C2130"/>
    <w:rsid w:val="001C4053"/>
    <w:rsid w:val="001C4935"/>
    <w:rsid w:val="001C589F"/>
    <w:rsid w:val="001C6E98"/>
    <w:rsid w:val="001C7858"/>
    <w:rsid w:val="001C7F4B"/>
    <w:rsid w:val="001D025D"/>
    <w:rsid w:val="001D1378"/>
    <w:rsid w:val="001D14BC"/>
    <w:rsid w:val="001D29A2"/>
    <w:rsid w:val="001D30B2"/>
    <w:rsid w:val="001D3120"/>
    <w:rsid w:val="001D3D6D"/>
    <w:rsid w:val="001D3FBB"/>
    <w:rsid w:val="001D4088"/>
    <w:rsid w:val="001D4296"/>
    <w:rsid w:val="001D436A"/>
    <w:rsid w:val="001D5DC0"/>
    <w:rsid w:val="001D678A"/>
    <w:rsid w:val="001D682E"/>
    <w:rsid w:val="001D7659"/>
    <w:rsid w:val="001D7BFE"/>
    <w:rsid w:val="001E1BD1"/>
    <w:rsid w:val="001E2474"/>
    <w:rsid w:val="001E3DFE"/>
    <w:rsid w:val="001E4FCD"/>
    <w:rsid w:val="001E5A2D"/>
    <w:rsid w:val="001E6CD5"/>
    <w:rsid w:val="001E77C3"/>
    <w:rsid w:val="001E7908"/>
    <w:rsid w:val="001F0588"/>
    <w:rsid w:val="001F0B79"/>
    <w:rsid w:val="001F2279"/>
    <w:rsid w:val="001F3434"/>
    <w:rsid w:val="001F3D31"/>
    <w:rsid w:val="001F44AA"/>
    <w:rsid w:val="001F47B2"/>
    <w:rsid w:val="001F4E9D"/>
    <w:rsid w:val="001F53E1"/>
    <w:rsid w:val="001F63BA"/>
    <w:rsid w:val="001F6447"/>
    <w:rsid w:val="001F6A7D"/>
    <w:rsid w:val="001F6D94"/>
    <w:rsid w:val="001F7370"/>
    <w:rsid w:val="001F7870"/>
    <w:rsid w:val="00200828"/>
    <w:rsid w:val="00200D99"/>
    <w:rsid w:val="00202325"/>
    <w:rsid w:val="00203B12"/>
    <w:rsid w:val="00203DF5"/>
    <w:rsid w:val="002047B8"/>
    <w:rsid w:val="002066C5"/>
    <w:rsid w:val="002102B3"/>
    <w:rsid w:val="00210D3D"/>
    <w:rsid w:val="0021109F"/>
    <w:rsid w:val="00212A0A"/>
    <w:rsid w:val="0021328D"/>
    <w:rsid w:val="002135E9"/>
    <w:rsid w:val="00213EEE"/>
    <w:rsid w:val="00214E84"/>
    <w:rsid w:val="0021667E"/>
    <w:rsid w:val="002167BE"/>
    <w:rsid w:val="00216C39"/>
    <w:rsid w:val="00221287"/>
    <w:rsid w:val="00221BD4"/>
    <w:rsid w:val="00223835"/>
    <w:rsid w:val="002265B3"/>
    <w:rsid w:val="00227D61"/>
    <w:rsid w:val="0023007B"/>
    <w:rsid w:val="00230932"/>
    <w:rsid w:val="00230B79"/>
    <w:rsid w:val="002324B4"/>
    <w:rsid w:val="002324CA"/>
    <w:rsid w:val="002340F3"/>
    <w:rsid w:val="00234C82"/>
    <w:rsid w:val="002360A2"/>
    <w:rsid w:val="00236FAF"/>
    <w:rsid w:val="002375CC"/>
    <w:rsid w:val="00243AC2"/>
    <w:rsid w:val="0024436F"/>
    <w:rsid w:val="00244885"/>
    <w:rsid w:val="00244D65"/>
    <w:rsid w:val="00245567"/>
    <w:rsid w:val="00245F80"/>
    <w:rsid w:val="002460C4"/>
    <w:rsid w:val="002471B3"/>
    <w:rsid w:val="002474F5"/>
    <w:rsid w:val="002500BA"/>
    <w:rsid w:val="00250D15"/>
    <w:rsid w:val="00251859"/>
    <w:rsid w:val="002531C3"/>
    <w:rsid w:val="0025330D"/>
    <w:rsid w:val="00253928"/>
    <w:rsid w:val="00254442"/>
    <w:rsid w:val="002554A1"/>
    <w:rsid w:val="00255601"/>
    <w:rsid w:val="0025597C"/>
    <w:rsid w:val="00255B99"/>
    <w:rsid w:val="00256CFC"/>
    <w:rsid w:val="0026014E"/>
    <w:rsid w:val="00260C58"/>
    <w:rsid w:val="0026156B"/>
    <w:rsid w:val="002615DC"/>
    <w:rsid w:val="00263C21"/>
    <w:rsid w:val="002642AE"/>
    <w:rsid w:val="0026462D"/>
    <w:rsid w:val="00265501"/>
    <w:rsid w:val="0026627A"/>
    <w:rsid w:val="00266728"/>
    <w:rsid w:val="00266E1E"/>
    <w:rsid w:val="00266EEC"/>
    <w:rsid w:val="00266FD5"/>
    <w:rsid w:val="002674AC"/>
    <w:rsid w:val="002702F6"/>
    <w:rsid w:val="00271431"/>
    <w:rsid w:val="00272499"/>
    <w:rsid w:val="00273017"/>
    <w:rsid w:val="0027376F"/>
    <w:rsid w:val="00276AE5"/>
    <w:rsid w:val="00277485"/>
    <w:rsid w:val="00280991"/>
    <w:rsid w:val="00280CD6"/>
    <w:rsid w:val="002826FA"/>
    <w:rsid w:val="002832E6"/>
    <w:rsid w:val="002839B6"/>
    <w:rsid w:val="00284050"/>
    <w:rsid w:val="00287B54"/>
    <w:rsid w:val="00290E9B"/>
    <w:rsid w:val="00291215"/>
    <w:rsid w:val="00292226"/>
    <w:rsid w:val="00292438"/>
    <w:rsid w:val="0029278E"/>
    <w:rsid w:val="00293E92"/>
    <w:rsid w:val="0029408A"/>
    <w:rsid w:val="0029473A"/>
    <w:rsid w:val="00295B4A"/>
    <w:rsid w:val="00297C6B"/>
    <w:rsid w:val="002A00A4"/>
    <w:rsid w:val="002A0924"/>
    <w:rsid w:val="002A1A97"/>
    <w:rsid w:val="002A380D"/>
    <w:rsid w:val="002A4CD0"/>
    <w:rsid w:val="002A5882"/>
    <w:rsid w:val="002A670A"/>
    <w:rsid w:val="002A67C7"/>
    <w:rsid w:val="002A687B"/>
    <w:rsid w:val="002B0440"/>
    <w:rsid w:val="002B3C1E"/>
    <w:rsid w:val="002B3D87"/>
    <w:rsid w:val="002B497E"/>
    <w:rsid w:val="002B4C58"/>
    <w:rsid w:val="002B4C84"/>
    <w:rsid w:val="002B55BE"/>
    <w:rsid w:val="002B5688"/>
    <w:rsid w:val="002B7262"/>
    <w:rsid w:val="002B7336"/>
    <w:rsid w:val="002B73A0"/>
    <w:rsid w:val="002B7B5D"/>
    <w:rsid w:val="002C00F7"/>
    <w:rsid w:val="002C1CE4"/>
    <w:rsid w:val="002C312D"/>
    <w:rsid w:val="002C32D2"/>
    <w:rsid w:val="002C55A4"/>
    <w:rsid w:val="002C641A"/>
    <w:rsid w:val="002C70D2"/>
    <w:rsid w:val="002C7F7D"/>
    <w:rsid w:val="002D171A"/>
    <w:rsid w:val="002D5245"/>
    <w:rsid w:val="002D63B3"/>
    <w:rsid w:val="002D751D"/>
    <w:rsid w:val="002D769E"/>
    <w:rsid w:val="002E0EDF"/>
    <w:rsid w:val="002E2510"/>
    <w:rsid w:val="002E2CB7"/>
    <w:rsid w:val="002E49FC"/>
    <w:rsid w:val="002E6E0C"/>
    <w:rsid w:val="002E7C01"/>
    <w:rsid w:val="002F14EF"/>
    <w:rsid w:val="002F23AC"/>
    <w:rsid w:val="002F2B8D"/>
    <w:rsid w:val="002F33C3"/>
    <w:rsid w:val="002F3E53"/>
    <w:rsid w:val="002F6159"/>
    <w:rsid w:val="002F617C"/>
    <w:rsid w:val="002F6B21"/>
    <w:rsid w:val="002F795D"/>
    <w:rsid w:val="00301295"/>
    <w:rsid w:val="00302B1C"/>
    <w:rsid w:val="00303FB1"/>
    <w:rsid w:val="00304765"/>
    <w:rsid w:val="00305ACA"/>
    <w:rsid w:val="0030682C"/>
    <w:rsid w:val="00307258"/>
    <w:rsid w:val="003079BA"/>
    <w:rsid w:val="003105FA"/>
    <w:rsid w:val="00311D77"/>
    <w:rsid w:val="00311F8E"/>
    <w:rsid w:val="003123F5"/>
    <w:rsid w:val="00315B78"/>
    <w:rsid w:val="00315B8B"/>
    <w:rsid w:val="0031783F"/>
    <w:rsid w:val="00320136"/>
    <w:rsid w:val="00320B10"/>
    <w:rsid w:val="003213D9"/>
    <w:rsid w:val="0032187E"/>
    <w:rsid w:val="00323140"/>
    <w:rsid w:val="00324755"/>
    <w:rsid w:val="00325A47"/>
    <w:rsid w:val="00325AA3"/>
    <w:rsid w:val="0032664B"/>
    <w:rsid w:val="00327160"/>
    <w:rsid w:val="00327D1C"/>
    <w:rsid w:val="00330BD8"/>
    <w:rsid w:val="00331395"/>
    <w:rsid w:val="00331AB7"/>
    <w:rsid w:val="00332D84"/>
    <w:rsid w:val="00332FCE"/>
    <w:rsid w:val="00333E0E"/>
    <w:rsid w:val="00335612"/>
    <w:rsid w:val="003425C1"/>
    <w:rsid w:val="00342E47"/>
    <w:rsid w:val="00342FB5"/>
    <w:rsid w:val="003430F4"/>
    <w:rsid w:val="0034516C"/>
    <w:rsid w:val="0034719E"/>
    <w:rsid w:val="00347456"/>
    <w:rsid w:val="003476E1"/>
    <w:rsid w:val="00350E95"/>
    <w:rsid w:val="003524AF"/>
    <w:rsid w:val="00352E07"/>
    <w:rsid w:val="003550DF"/>
    <w:rsid w:val="00356314"/>
    <w:rsid w:val="003570FE"/>
    <w:rsid w:val="003606C5"/>
    <w:rsid w:val="00360FF6"/>
    <w:rsid w:val="00361F3B"/>
    <w:rsid w:val="00362124"/>
    <w:rsid w:val="003627DB"/>
    <w:rsid w:val="0036466B"/>
    <w:rsid w:val="00364D6A"/>
    <w:rsid w:val="0036541E"/>
    <w:rsid w:val="00366309"/>
    <w:rsid w:val="00367FF7"/>
    <w:rsid w:val="00370AC5"/>
    <w:rsid w:val="00373EAF"/>
    <w:rsid w:val="003749E8"/>
    <w:rsid w:val="00374B7F"/>
    <w:rsid w:val="0037610F"/>
    <w:rsid w:val="00376514"/>
    <w:rsid w:val="00381A5F"/>
    <w:rsid w:val="00381F08"/>
    <w:rsid w:val="00382604"/>
    <w:rsid w:val="00382E5F"/>
    <w:rsid w:val="00383144"/>
    <w:rsid w:val="00384A3E"/>
    <w:rsid w:val="00385F78"/>
    <w:rsid w:val="00390824"/>
    <w:rsid w:val="003918A5"/>
    <w:rsid w:val="00392AF7"/>
    <w:rsid w:val="00392E8C"/>
    <w:rsid w:val="00393320"/>
    <w:rsid w:val="00393F86"/>
    <w:rsid w:val="003953E1"/>
    <w:rsid w:val="00396B81"/>
    <w:rsid w:val="003A4A42"/>
    <w:rsid w:val="003A4CAA"/>
    <w:rsid w:val="003A4FBD"/>
    <w:rsid w:val="003A59B7"/>
    <w:rsid w:val="003A6F35"/>
    <w:rsid w:val="003B016B"/>
    <w:rsid w:val="003B0283"/>
    <w:rsid w:val="003B2278"/>
    <w:rsid w:val="003B339F"/>
    <w:rsid w:val="003B34A3"/>
    <w:rsid w:val="003B7568"/>
    <w:rsid w:val="003C0AF1"/>
    <w:rsid w:val="003C4185"/>
    <w:rsid w:val="003C435E"/>
    <w:rsid w:val="003C5834"/>
    <w:rsid w:val="003C6C55"/>
    <w:rsid w:val="003C6D8D"/>
    <w:rsid w:val="003C701A"/>
    <w:rsid w:val="003C733E"/>
    <w:rsid w:val="003C7359"/>
    <w:rsid w:val="003D0258"/>
    <w:rsid w:val="003D0864"/>
    <w:rsid w:val="003D0E38"/>
    <w:rsid w:val="003D125D"/>
    <w:rsid w:val="003D12F8"/>
    <w:rsid w:val="003D1AC3"/>
    <w:rsid w:val="003D2DBA"/>
    <w:rsid w:val="003D3DE3"/>
    <w:rsid w:val="003D4028"/>
    <w:rsid w:val="003D5E89"/>
    <w:rsid w:val="003D5EB5"/>
    <w:rsid w:val="003D645B"/>
    <w:rsid w:val="003D69E5"/>
    <w:rsid w:val="003D7120"/>
    <w:rsid w:val="003D7D67"/>
    <w:rsid w:val="003D7F93"/>
    <w:rsid w:val="003E0285"/>
    <w:rsid w:val="003E0C74"/>
    <w:rsid w:val="003E2F0E"/>
    <w:rsid w:val="003E3C70"/>
    <w:rsid w:val="003E4113"/>
    <w:rsid w:val="003E4163"/>
    <w:rsid w:val="003E4AD1"/>
    <w:rsid w:val="003E5530"/>
    <w:rsid w:val="003E5648"/>
    <w:rsid w:val="003E67F9"/>
    <w:rsid w:val="003E6E1A"/>
    <w:rsid w:val="003E6F8C"/>
    <w:rsid w:val="003E7155"/>
    <w:rsid w:val="003F03CB"/>
    <w:rsid w:val="003F05DC"/>
    <w:rsid w:val="003F18F9"/>
    <w:rsid w:val="003F24EA"/>
    <w:rsid w:val="003F427C"/>
    <w:rsid w:val="003F461C"/>
    <w:rsid w:val="003F52A4"/>
    <w:rsid w:val="003F530C"/>
    <w:rsid w:val="003F53D2"/>
    <w:rsid w:val="003F6C7E"/>
    <w:rsid w:val="003F7843"/>
    <w:rsid w:val="00401F71"/>
    <w:rsid w:val="004059B0"/>
    <w:rsid w:val="00407254"/>
    <w:rsid w:val="0040789B"/>
    <w:rsid w:val="00411D4B"/>
    <w:rsid w:val="0041293C"/>
    <w:rsid w:val="00412F5E"/>
    <w:rsid w:val="00414BDA"/>
    <w:rsid w:val="00417CC2"/>
    <w:rsid w:val="00417E91"/>
    <w:rsid w:val="00420F93"/>
    <w:rsid w:val="00421276"/>
    <w:rsid w:val="00422F2E"/>
    <w:rsid w:val="004235E5"/>
    <w:rsid w:val="00423B7B"/>
    <w:rsid w:val="004240F0"/>
    <w:rsid w:val="00424751"/>
    <w:rsid w:val="00425095"/>
    <w:rsid w:val="00426745"/>
    <w:rsid w:val="00427B60"/>
    <w:rsid w:val="00427C4D"/>
    <w:rsid w:val="004305DB"/>
    <w:rsid w:val="00430795"/>
    <w:rsid w:val="00430A75"/>
    <w:rsid w:val="0043261F"/>
    <w:rsid w:val="00432B5D"/>
    <w:rsid w:val="00432CEA"/>
    <w:rsid w:val="00433A71"/>
    <w:rsid w:val="00433B16"/>
    <w:rsid w:val="00433CA4"/>
    <w:rsid w:val="00435026"/>
    <w:rsid w:val="00435D67"/>
    <w:rsid w:val="00435FE1"/>
    <w:rsid w:val="00436FBF"/>
    <w:rsid w:val="00437A2A"/>
    <w:rsid w:val="00437AEC"/>
    <w:rsid w:val="00440AC0"/>
    <w:rsid w:val="00441C13"/>
    <w:rsid w:val="00442106"/>
    <w:rsid w:val="004423D8"/>
    <w:rsid w:val="0044349C"/>
    <w:rsid w:val="00443716"/>
    <w:rsid w:val="004438ED"/>
    <w:rsid w:val="00445D3D"/>
    <w:rsid w:val="00446D5B"/>
    <w:rsid w:val="00447285"/>
    <w:rsid w:val="00447897"/>
    <w:rsid w:val="00452611"/>
    <w:rsid w:val="00453664"/>
    <w:rsid w:val="004540F3"/>
    <w:rsid w:val="00454289"/>
    <w:rsid w:val="004553FA"/>
    <w:rsid w:val="0045567E"/>
    <w:rsid w:val="00455851"/>
    <w:rsid w:val="00455B4A"/>
    <w:rsid w:val="00455BEE"/>
    <w:rsid w:val="00455D7E"/>
    <w:rsid w:val="00456377"/>
    <w:rsid w:val="00457A2A"/>
    <w:rsid w:val="00457E1C"/>
    <w:rsid w:val="0046012D"/>
    <w:rsid w:val="00461356"/>
    <w:rsid w:val="00461ABC"/>
    <w:rsid w:val="00461B07"/>
    <w:rsid w:val="00461D4E"/>
    <w:rsid w:val="0046216D"/>
    <w:rsid w:val="00463DC8"/>
    <w:rsid w:val="00464262"/>
    <w:rsid w:val="004643A1"/>
    <w:rsid w:val="00466024"/>
    <w:rsid w:val="0046743E"/>
    <w:rsid w:val="0047059A"/>
    <w:rsid w:val="00470618"/>
    <w:rsid w:val="00474000"/>
    <w:rsid w:val="00474343"/>
    <w:rsid w:val="00474AE1"/>
    <w:rsid w:val="00475BCC"/>
    <w:rsid w:val="00482A70"/>
    <w:rsid w:val="00482FEE"/>
    <w:rsid w:val="004830EB"/>
    <w:rsid w:val="00483171"/>
    <w:rsid w:val="004838C2"/>
    <w:rsid w:val="00483A77"/>
    <w:rsid w:val="00483F3E"/>
    <w:rsid w:val="004850D1"/>
    <w:rsid w:val="00490291"/>
    <w:rsid w:val="00491282"/>
    <w:rsid w:val="00491753"/>
    <w:rsid w:val="004919F6"/>
    <w:rsid w:val="00493AE6"/>
    <w:rsid w:val="00494CF8"/>
    <w:rsid w:val="00497098"/>
    <w:rsid w:val="004A05FC"/>
    <w:rsid w:val="004A0EDC"/>
    <w:rsid w:val="004A284B"/>
    <w:rsid w:val="004A2909"/>
    <w:rsid w:val="004A2916"/>
    <w:rsid w:val="004A50D7"/>
    <w:rsid w:val="004A742F"/>
    <w:rsid w:val="004A7DF7"/>
    <w:rsid w:val="004B34B1"/>
    <w:rsid w:val="004B3D07"/>
    <w:rsid w:val="004B4C32"/>
    <w:rsid w:val="004B68FD"/>
    <w:rsid w:val="004B7282"/>
    <w:rsid w:val="004C1954"/>
    <w:rsid w:val="004C1976"/>
    <w:rsid w:val="004C2548"/>
    <w:rsid w:val="004C3325"/>
    <w:rsid w:val="004C3783"/>
    <w:rsid w:val="004C3B96"/>
    <w:rsid w:val="004C4096"/>
    <w:rsid w:val="004C41DF"/>
    <w:rsid w:val="004C5626"/>
    <w:rsid w:val="004C562C"/>
    <w:rsid w:val="004C57A4"/>
    <w:rsid w:val="004C602E"/>
    <w:rsid w:val="004C69D6"/>
    <w:rsid w:val="004C736E"/>
    <w:rsid w:val="004C7D7B"/>
    <w:rsid w:val="004D0C78"/>
    <w:rsid w:val="004D0CB1"/>
    <w:rsid w:val="004D1BB0"/>
    <w:rsid w:val="004D1D99"/>
    <w:rsid w:val="004D2AB6"/>
    <w:rsid w:val="004D3DC9"/>
    <w:rsid w:val="004D5118"/>
    <w:rsid w:val="004D5635"/>
    <w:rsid w:val="004D5F53"/>
    <w:rsid w:val="004D644D"/>
    <w:rsid w:val="004E0A32"/>
    <w:rsid w:val="004E147A"/>
    <w:rsid w:val="004E1B37"/>
    <w:rsid w:val="004E26A0"/>
    <w:rsid w:val="004E2A36"/>
    <w:rsid w:val="004E2FC4"/>
    <w:rsid w:val="004E37F9"/>
    <w:rsid w:val="004E4523"/>
    <w:rsid w:val="004E62FD"/>
    <w:rsid w:val="004E6D00"/>
    <w:rsid w:val="004E7266"/>
    <w:rsid w:val="004E7EDA"/>
    <w:rsid w:val="004F0421"/>
    <w:rsid w:val="004F0CE5"/>
    <w:rsid w:val="004F1233"/>
    <w:rsid w:val="004F1628"/>
    <w:rsid w:val="004F3651"/>
    <w:rsid w:val="004F3BD2"/>
    <w:rsid w:val="004F4470"/>
    <w:rsid w:val="004F643F"/>
    <w:rsid w:val="004F64C2"/>
    <w:rsid w:val="00502C37"/>
    <w:rsid w:val="0050439F"/>
    <w:rsid w:val="00505E65"/>
    <w:rsid w:val="00505F86"/>
    <w:rsid w:val="0050606A"/>
    <w:rsid w:val="00506711"/>
    <w:rsid w:val="00506EB5"/>
    <w:rsid w:val="005073B0"/>
    <w:rsid w:val="00507940"/>
    <w:rsid w:val="00510075"/>
    <w:rsid w:val="0051061E"/>
    <w:rsid w:val="005114A2"/>
    <w:rsid w:val="0051156B"/>
    <w:rsid w:val="00511B7C"/>
    <w:rsid w:val="0051217B"/>
    <w:rsid w:val="00513C9B"/>
    <w:rsid w:val="005147EB"/>
    <w:rsid w:val="00514B6F"/>
    <w:rsid w:val="00514C3C"/>
    <w:rsid w:val="00516B9B"/>
    <w:rsid w:val="00516D5F"/>
    <w:rsid w:val="005174BB"/>
    <w:rsid w:val="0051775F"/>
    <w:rsid w:val="00517CE0"/>
    <w:rsid w:val="00520C0A"/>
    <w:rsid w:val="00522261"/>
    <w:rsid w:val="00525865"/>
    <w:rsid w:val="00526D35"/>
    <w:rsid w:val="00527CA7"/>
    <w:rsid w:val="00527D93"/>
    <w:rsid w:val="00530566"/>
    <w:rsid w:val="0053314B"/>
    <w:rsid w:val="00534723"/>
    <w:rsid w:val="005355DF"/>
    <w:rsid w:val="005356C1"/>
    <w:rsid w:val="005359FD"/>
    <w:rsid w:val="00535E0F"/>
    <w:rsid w:val="005364F1"/>
    <w:rsid w:val="0053676A"/>
    <w:rsid w:val="00536D1C"/>
    <w:rsid w:val="00536FE2"/>
    <w:rsid w:val="00537313"/>
    <w:rsid w:val="005373DD"/>
    <w:rsid w:val="005379C5"/>
    <w:rsid w:val="00540604"/>
    <w:rsid w:val="005416BA"/>
    <w:rsid w:val="00541DE1"/>
    <w:rsid w:val="005421D7"/>
    <w:rsid w:val="005459C7"/>
    <w:rsid w:val="005463A0"/>
    <w:rsid w:val="005467B8"/>
    <w:rsid w:val="00546D89"/>
    <w:rsid w:val="00546F66"/>
    <w:rsid w:val="0054730D"/>
    <w:rsid w:val="00547939"/>
    <w:rsid w:val="00550284"/>
    <w:rsid w:val="00551D33"/>
    <w:rsid w:val="00552477"/>
    <w:rsid w:val="0055335B"/>
    <w:rsid w:val="005564B7"/>
    <w:rsid w:val="00556641"/>
    <w:rsid w:val="005609F1"/>
    <w:rsid w:val="00561566"/>
    <w:rsid w:val="0056582D"/>
    <w:rsid w:val="00565853"/>
    <w:rsid w:val="00566F10"/>
    <w:rsid w:val="0057051A"/>
    <w:rsid w:val="005714BE"/>
    <w:rsid w:val="00572B64"/>
    <w:rsid w:val="00573E5C"/>
    <w:rsid w:val="00575733"/>
    <w:rsid w:val="00575DD5"/>
    <w:rsid w:val="00576ADD"/>
    <w:rsid w:val="0057719C"/>
    <w:rsid w:val="005773D3"/>
    <w:rsid w:val="00577900"/>
    <w:rsid w:val="00577FD7"/>
    <w:rsid w:val="0058009A"/>
    <w:rsid w:val="00580124"/>
    <w:rsid w:val="00580411"/>
    <w:rsid w:val="00580808"/>
    <w:rsid w:val="00581C68"/>
    <w:rsid w:val="0058293B"/>
    <w:rsid w:val="00583D9D"/>
    <w:rsid w:val="00584A2E"/>
    <w:rsid w:val="00584F63"/>
    <w:rsid w:val="00585225"/>
    <w:rsid w:val="00586107"/>
    <w:rsid w:val="005865EE"/>
    <w:rsid w:val="00590B90"/>
    <w:rsid w:val="00590FE7"/>
    <w:rsid w:val="005914F8"/>
    <w:rsid w:val="00591A45"/>
    <w:rsid w:val="00592FE0"/>
    <w:rsid w:val="00593095"/>
    <w:rsid w:val="0059316D"/>
    <w:rsid w:val="005932F5"/>
    <w:rsid w:val="005936E1"/>
    <w:rsid w:val="00593B11"/>
    <w:rsid w:val="00595F8C"/>
    <w:rsid w:val="00597147"/>
    <w:rsid w:val="00597751"/>
    <w:rsid w:val="0059779D"/>
    <w:rsid w:val="00597BCD"/>
    <w:rsid w:val="00597DC8"/>
    <w:rsid w:val="005A3F6F"/>
    <w:rsid w:val="005A5898"/>
    <w:rsid w:val="005A66E5"/>
    <w:rsid w:val="005A79AF"/>
    <w:rsid w:val="005A7A31"/>
    <w:rsid w:val="005B1F1F"/>
    <w:rsid w:val="005B25C3"/>
    <w:rsid w:val="005B26A3"/>
    <w:rsid w:val="005B5821"/>
    <w:rsid w:val="005B5AB9"/>
    <w:rsid w:val="005B6099"/>
    <w:rsid w:val="005B6990"/>
    <w:rsid w:val="005B6D6D"/>
    <w:rsid w:val="005B71E8"/>
    <w:rsid w:val="005B7BDB"/>
    <w:rsid w:val="005C1649"/>
    <w:rsid w:val="005C2914"/>
    <w:rsid w:val="005C2CAB"/>
    <w:rsid w:val="005C4600"/>
    <w:rsid w:val="005C4AF2"/>
    <w:rsid w:val="005C4B2A"/>
    <w:rsid w:val="005C5B03"/>
    <w:rsid w:val="005C6F00"/>
    <w:rsid w:val="005C7E77"/>
    <w:rsid w:val="005D0CB7"/>
    <w:rsid w:val="005D1330"/>
    <w:rsid w:val="005D17A0"/>
    <w:rsid w:val="005D1CBD"/>
    <w:rsid w:val="005D22EA"/>
    <w:rsid w:val="005D2316"/>
    <w:rsid w:val="005D238A"/>
    <w:rsid w:val="005D30DD"/>
    <w:rsid w:val="005D3EED"/>
    <w:rsid w:val="005D46D9"/>
    <w:rsid w:val="005D4AB9"/>
    <w:rsid w:val="005D4F5D"/>
    <w:rsid w:val="005D50AF"/>
    <w:rsid w:val="005D60EC"/>
    <w:rsid w:val="005D6525"/>
    <w:rsid w:val="005D72EF"/>
    <w:rsid w:val="005D772F"/>
    <w:rsid w:val="005E0BB7"/>
    <w:rsid w:val="005E34FC"/>
    <w:rsid w:val="005E4EC9"/>
    <w:rsid w:val="005E5519"/>
    <w:rsid w:val="005E64A0"/>
    <w:rsid w:val="005E766D"/>
    <w:rsid w:val="005E78E7"/>
    <w:rsid w:val="005E799E"/>
    <w:rsid w:val="005E7F68"/>
    <w:rsid w:val="005F0A02"/>
    <w:rsid w:val="005F14AA"/>
    <w:rsid w:val="005F3A53"/>
    <w:rsid w:val="005F62F4"/>
    <w:rsid w:val="005F737B"/>
    <w:rsid w:val="005F7B19"/>
    <w:rsid w:val="005F7FAE"/>
    <w:rsid w:val="006006C8"/>
    <w:rsid w:val="00600F80"/>
    <w:rsid w:val="00601C6B"/>
    <w:rsid w:val="00602B13"/>
    <w:rsid w:val="006036D9"/>
    <w:rsid w:val="006039B0"/>
    <w:rsid w:val="006049E0"/>
    <w:rsid w:val="006065BF"/>
    <w:rsid w:val="006067A6"/>
    <w:rsid w:val="0060730E"/>
    <w:rsid w:val="00607911"/>
    <w:rsid w:val="006101C1"/>
    <w:rsid w:val="0061086A"/>
    <w:rsid w:val="0061341C"/>
    <w:rsid w:val="00614766"/>
    <w:rsid w:val="006155BD"/>
    <w:rsid w:val="0061566C"/>
    <w:rsid w:val="00616054"/>
    <w:rsid w:val="00616ED1"/>
    <w:rsid w:val="0061723D"/>
    <w:rsid w:val="00617916"/>
    <w:rsid w:val="006203F6"/>
    <w:rsid w:val="0062150B"/>
    <w:rsid w:val="006219E9"/>
    <w:rsid w:val="00622B99"/>
    <w:rsid w:val="00624223"/>
    <w:rsid w:val="00624227"/>
    <w:rsid w:val="00625655"/>
    <w:rsid w:val="006257DF"/>
    <w:rsid w:val="006263AA"/>
    <w:rsid w:val="0062676F"/>
    <w:rsid w:val="00626FE7"/>
    <w:rsid w:val="00627A1F"/>
    <w:rsid w:val="00632084"/>
    <w:rsid w:val="00632B21"/>
    <w:rsid w:val="006365E2"/>
    <w:rsid w:val="0063685A"/>
    <w:rsid w:val="00637123"/>
    <w:rsid w:val="006402E5"/>
    <w:rsid w:val="00640C31"/>
    <w:rsid w:val="006412C8"/>
    <w:rsid w:val="00641674"/>
    <w:rsid w:val="00641ECB"/>
    <w:rsid w:val="00645233"/>
    <w:rsid w:val="00645704"/>
    <w:rsid w:val="00645B87"/>
    <w:rsid w:val="00647300"/>
    <w:rsid w:val="0065050C"/>
    <w:rsid w:val="00651ABA"/>
    <w:rsid w:val="00652DCE"/>
    <w:rsid w:val="006530EC"/>
    <w:rsid w:val="006536C6"/>
    <w:rsid w:val="00654FDA"/>
    <w:rsid w:val="0065515F"/>
    <w:rsid w:val="006562FE"/>
    <w:rsid w:val="0065671D"/>
    <w:rsid w:val="006605D4"/>
    <w:rsid w:val="0066092E"/>
    <w:rsid w:val="00660B37"/>
    <w:rsid w:val="00660E81"/>
    <w:rsid w:val="0066106D"/>
    <w:rsid w:val="006622E8"/>
    <w:rsid w:val="006635C6"/>
    <w:rsid w:val="00664EC1"/>
    <w:rsid w:val="006666AC"/>
    <w:rsid w:val="006674D5"/>
    <w:rsid w:val="00667CFF"/>
    <w:rsid w:val="00670F4C"/>
    <w:rsid w:val="006716C0"/>
    <w:rsid w:val="00672340"/>
    <w:rsid w:val="00673421"/>
    <w:rsid w:val="006748E8"/>
    <w:rsid w:val="006751DB"/>
    <w:rsid w:val="006759C4"/>
    <w:rsid w:val="00675B55"/>
    <w:rsid w:val="00675CCA"/>
    <w:rsid w:val="00676D67"/>
    <w:rsid w:val="00677A08"/>
    <w:rsid w:val="00677FA7"/>
    <w:rsid w:val="00681607"/>
    <w:rsid w:val="0068208A"/>
    <w:rsid w:val="006822D0"/>
    <w:rsid w:val="00684018"/>
    <w:rsid w:val="0068424D"/>
    <w:rsid w:val="00684865"/>
    <w:rsid w:val="00685192"/>
    <w:rsid w:val="00685C92"/>
    <w:rsid w:val="00686548"/>
    <w:rsid w:val="0068676C"/>
    <w:rsid w:val="006877A6"/>
    <w:rsid w:val="00690166"/>
    <w:rsid w:val="00697DE5"/>
    <w:rsid w:val="006A0C10"/>
    <w:rsid w:val="006A0E88"/>
    <w:rsid w:val="006A14E4"/>
    <w:rsid w:val="006A16AC"/>
    <w:rsid w:val="006A22C4"/>
    <w:rsid w:val="006A3497"/>
    <w:rsid w:val="006A3A34"/>
    <w:rsid w:val="006A3B4F"/>
    <w:rsid w:val="006A4701"/>
    <w:rsid w:val="006A5247"/>
    <w:rsid w:val="006A64CC"/>
    <w:rsid w:val="006A658F"/>
    <w:rsid w:val="006A6FAB"/>
    <w:rsid w:val="006A73E5"/>
    <w:rsid w:val="006A7F97"/>
    <w:rsid w:val="006B1CAC"/>
    <w:rsid w:val="006B24BB"/>
    <w:rsid w:val="006B2B76"/>
    <w:rsid w:val="006B31A5"/>
    <w:rsid w:val="006B36E2"/>
    <w:rsid w:val="006B4507"/>
    <w:rsid w:val="006B4C83"/>
    <w:rsid w:val="006B63F6"/>
    <w:rsid w:val="006B6CAB"/>
    <w:rsid w:val="006B7689"/>
    <w:rsid w:val="006C1057"/>
    <w:rsid w:val="006C22F9"/>
    <w:rsid w:val="006C3462"/>
    <w:rsid w:val="006C3514"/>
    <w:rsid w:val="006C3E98"/>
    <w:rsid w:val="006C46D5"/>
    <w:rsid w:val="006C64C0"/>
    <w:rsid w:val="006C6C26"/>
    <w:rsid w:val="006C6D93"/>
    <w:rsid w:val="006D00F0"/>
    <w:rsid w:val="006D0D4D"/>
    <w:rsid w:val="006D25AE"/>
    <w:rsid w:val="006D284A"/>
    <w:rsid w:val="006D4739"/>
    <w:rsid w:val="006D62F9"/>
    <w:rsid w:val="006D6567"/>
    <w:rsid w:val="006D6A51"/>
    <w:rsid w:val="006E1D0A"/>
    <w:rsid w:val="006E3C11"/>
    <w:rsid w:val="006E4B0C"/>
    <w:rsid w:val="006E4DDC"/>
    <w:rsid w:val="006E506F"/>
    <w:rsid w:val="006E53DC"/>
    <w:rsid w:val="006E59E3"/>
    <w:rsid w:val="006E5EFD"/>
    <w:rsid w:val="006E7C67"/>
    <w:rsid w:val="006E7EB0"/>
    <w:rsid w:val="006F3C36"/>
    <w:rsid w:val="006F3C4B"/>
    <w:rsid w:val="006F5D1E"/>
    <w:rsid w:val="006F5FEE"/>
    <w:rsid w:val="006F711C"/>
    <w:rsid w:val="00700115"/>
    <w:rsid w:val="007020A0"/>
    <w:rsid w:val="007020B3"/>
    <w:rsid w:val="00703419"/>
    <w:rsid w:val="00703866"/>
    <w:rsid w:val="00703B8F"/>
    <w:rsid w:val="00703ECA"/>
    <w:rsid w:val="00706F40"/>
    <w:rsid w:val="00710B11"/>
    <w:rsid w:val="00711D04"/>
    <w:rsid w:val="00712472"/>
    <w:rsid w:val="00712E37"/>
    <w:rsid w:val="007135DE"/>
    <w:rsid w:val="0071391C"/>
    <w:rsid w:val="00713E5C"/>
    <w:rsid w:val="00713F21"/>
    <w:rsid w:val="00715027"/>
    <w:rsid w:val="00716979"/>
    <w:rsid w:val="007179E7"/>
    <w:rsid w:val="00720E98"/>
    <w:rsid w:val="00721DA3"/>
    <w:rsid w:val="007237F8"/>
    <w:rsid w:val="00724618"/>
    <w:rsid w:val="00724993"/>
    <w:rsid w:val="00724A9B"/>
    <w:rsid w:val="00724C77"/>
    <w:rsid w:val="00725EC1"/>
    <w:rsid w:val="00727AFF"/>
    <w:rsid w:val="0073078E"/>
    <w:rsid w:val="0073206E"/>
    <w:rsid w:val="00732E25"/>
    <w:rsid w:val="00735607"/>
    <w:rsid w:val="00735944"/>
    <w:rsid w:val="0073731D"/>
    <w:rsid w:val="00737A19"/>
    <w:rsid w:val="00737E32"/>
    <w:rsid w:val="00740554"/>
    <w:rsid w:val="00740B49"/>
    <w:rsid w:val="00740E00"/>
    <w:rsid w:val="0074189F"/>
    <w:rsid w:val="0074316B"/>
    <w:rsid w:val="007434CB"/>
    <w:rsid w:val="007437C6"/>
    <w:rsid w:val="00743C86"/>
    <w:rsid w:val="00744A82"/>
    <w:rsid w:val="00744BBF"/>
    <w:rsid w:val="007456D1"/>
    <w:rsid w:val="00745780"/>
    <w:rsid w:val="00745E5D"/>
    <w:rsid w:val="00745F92"/>
    <w:rsid w:val="00747424"/>
    <w:rsid w:val="00747B0D"/>
    <w:rsid w:val="00747FD7"/>
    <w:rsid w:val="00750C36"/>
    <w:rsid w:val="00750D29"/>
    <w:rsid w:val="00750D79"/>
    <w:rsid w:val="0075274C"/>
    <w:rsid w:val="007532F0"/>
    <w:rsid w:val="0075381A"/>
    <w:rsid w:val="00754319"/>
    <w:rsid w:val="00754505"/>
    <w:rsid w:val="00754D57"/>
    <w:rsid w:val="007575C9"/>
    <w:rsid w:val="00760106"/>
    <w:rsid w:val="00762BDA"/>
    <w:rsid w:val="00763339"/>
    <w:rsid w:val="00763563"/>
    <w:rsid w:val="007646DB"/>
    <w:rsid w:val="0077099F"/>
    <w:rsid w:val="00770B6A"/>
    <w:rsid w:val="007718FC"/>
    <w:rsid w:val="007722F8"/>
    <w:rsid w:val="00773BCA"/>
    <w:rsid w:val="00773C69"/>
    <w:rsid w:val="0077611C"/>
    <w:rsid w:val="00776977"/>
    <w:rsid w:val="00776997"/>
    <w:rsid w:val="00776C07"/>
    <w:rsid w:val="00780720"/>
    <w:rsid w:val="00780923"/>
    <w:rsid w:val="00780FA6"/>
    <w:rsid w:val="007831BA"/>
    <w:rsid w:val="007837D4"/>
    <w:rsid w:val="00783D30"/>
    <w:rsid w:val="00784002"/>
    <w:rsid w:val="00784381"/>
    <w:rsid w:val="00784EB5"/>
    <w:rsid w:val="007861F0"/>
    <w:rsid w:val="00786666"/>
    <w:rsid w:val="00791F95"/>
    <w:rsid w:val="00794785"/>
    <w:rsid w:val="0079623A"/>
    <w:rsid w:val="0079634B"/>
    <w:rsid w:val="0079667E"/>
    <w:rsid w:val="007971D9"/>
    <w:rsid w:val="00797C14"/>
    <w:rsid w:val="007A12C9"/>
    <w:rsid w:val="007A1442"/>
    <w:rsid w:val="007A208F"/>
    <w:rsid w:val="007A4210"/>
    <w:rsid w:val="007A481A"/>
    <w:rsid w:val="007A6BCF"/>
    <w:rsid w:val="007A77B8"/>
    <w:rsid w:val="007B0E0B"/>
    <w:rsid w:val="007B1779"/>
    <w:rsid w:val="007B1CB7"/>
    <w:rsid w:val="007B338B"/>
    <w:rsid w:val="007B36EB"/>
    <w:rsid w:val="007B3EC2"/>
    <w:rsid w:val="007B4E5F"/>
    <w:rsid w:val="007B54E1"/>
    <w:rsid w:val="007B6AF7"/>
    <w:rsid w:val="007B6E1B"/>
    <w:rsid w:val="007B6F4B"/>
    <w:rsid w:val="007B7056"/>
    <w:rsid w:val="007B74C8"/>
    <w:rsid w:val="007B77FB"/>
    <w:rsid w:val="007C3FDE"/>
    <w:rsid w:val="007C579B"/>
    <w:rsid w:val="007C5B49"/>
    <w:rsid w:val="007D1576"/>
    <w:rsid w:val="007D4AA5"/>
    <w:rsid w:val="007D4C02"/>
    <w:rsid w:val="007D4D1E"/>
    <w:rsid w:val="007D60D9"/>
    <w:rsid w:val="007E017F"/>
    <w:rsid w:val="007E14BC"/>
    <w:rsid w:val="007E1FEB"/>
    <w:rsid w:val="007E2F1D"/>
    <w:rsid w:val="007E31D5"/>
    <w:rsid w:val="007E5359"/>
    <w:rsid w:val="007E553F"/>
    <w:rsid w:val="007E5C2B"/>
    <w:rsid w:val="007E5F81"/>
    <w:rsid w:val="007E6B6F"/>
    <w:rsid w:val="007E7581"/>
    <w:rsid w:val="007E7E6B"/>
    <w:rsid w:val="007F1AE3"/>
    <w:rsid w:val="007F2182"/>
    <w:rsid w:val="007F2EF2"/>
    <w:rsid w:val="007F3127"/>
    <w:rsid w:val="007F374D"/>
    <w:rsid w:val="007F3F5C"/>
    <w:rsid w:val="007F6129"/>
    <w:rsid w:val="007F7E44"/>
    <w:rsid w:val="00800ABC"/>
    <w:rsid w:val="0080281F"/>
    <w:rsid w:val="00803947"/>
    <w:rsid w:val="00803D30"/>
    <w:rsid w:val="008052C2"/>
    <w:rsid w:val="00805CDD"/>
    <w:rsid w:val="008100DF"/>
    <w:rsid w:val="00811537"/>
    <w:rsid w:val="00811BCE"/>
    <w:rsid w:val="00811E13"/>
    <w:rsid w:val="00812E3A"/>
    <w:rsid w:val="0081322D"/>
    <w:rsid w:val="00815BBA"/>
    <w:rsid w:val="00816240"/>
    <w:rsid w:val="008168A5"/>
    <w:rsid w:val="008169AB"/>
    <w:rsid w:val="008178BF"/>
    <w:rsid w:val="00817A83"/>
    <w:rsid w:val="0082073E"/>
    <w:rsid w:val="008217F3"/>
    <w:rsid w:val="0082190B"/>
    <w:rsid w:val="00822D16"/>
    <w:rsid w:val="008276A7"/>
    <w:rsid w:val="00827C27"/>
    <w:rsid w:val="00830CA9"/>
    <w:rsid w:val="00831187"/>
    <w:rsid w:val="0083124D"/>
    <w:rsid w:val="00832111"/>
    <w:rsid w:val="0083234B"/>
    <w:rsid w:val="008326A3"/>
    <w:rsid w:val="008326D3"/>
    <w:rsid w:val="00832B99"/>
    <w:rsid w:val="00835869"/>
    <w:rsid w:val="00835FD2"/>
    <w:rsid w:val="008364CE"/>
    <w:rsid w:val="008401E1"/>
    <w:rsid w:val="00841271"/>
    <w:rsid w:val="00841888"/>
    <w:rsid w:val="0084359A"/>
    <w:rsid w:val="008438C4"/>
    <w:rsid w:val="00852CB2"/>
    <w:rsid w:val="00854B01"/>
    <w:rsid w:val="00855199"/>
    <w:rsid w:val="00856C12"/>
    <w:rsid w:val="0085779A"/>
    <w:rsid w:val="00857914"/>
    <w:rsid w:val="00857F61"/>
    <w:rsid w:val="00857FBB"/>
    <w:rsid w:val="0086008B"/>
    <w:rsid w:val="00860BB7"/>
    <w:rsid w:val="0086185C"/>
    <w:rsid w:val="00862BF3"/>
    <w:rsid w:val="00863053"/>
    <w:rsid w:val="008639EC"/>
    <w:rsid w:val="00863D4B"/>
    <w:rsid w:val="0086549D"/>
    <w:rsid w:val="00865D7A"/>
    <w:rsid w:val="00865F01"/>
    <w:rsid w:val="00866B0E"/>
    <w:rsid w:val="00866DAE"/>
    <w:rsid w:val="00867443"/>
    <w:rsid w:val="00871940"/>
    <w:rsid w:val="00873358"/>
    <w:rsid w:val="00875401"/>
    <w:rsid w:val="00875445"/>
    <w:rsid w:val="00876256"/>
    <w:rsid w:val="00877743"/>
    <w:rsid w:val="00880443"/>
    <w:rsid w:val="008809D9"/>
    <w:rsid w:val="00881A0A"/>
    <w:rsid w:val="00883130"/>
    <w:rsid w:val="00883201"/>
    <w:rsid w:val="00885D3C"/>
    <w:rsid w:val="00886D07"/>
    <w:rsid w:val="0088722F"/>
    <w:rsid w:val="0088732E"/>
    <w:rsid w:val="00887666"/>
    <w:rsid w:val="00887B53"/>
    <w:rsid w:val="008900D6"/>
    <w:rsid w:val="00890385"/>
    <w:rsid w:val="00890439"/>
    <w:rsid w:val="00891C2B"/>
    <w:rsid w:val="0089258C"/>
    <w:rsid w:val="00893B6A"/>
    <w:rsid w:val="00894982"/>
    <w:rsid w:val="00894B65"/>
    <w:rsid w:val="00894D95"/>
    <w:rsid w:val="008A2640"/>
    <w:rsid w:val="008A3B60"/>
    <w:rsid w:val="008A6BFC"/>
    <w:rsid w:val="008A740D"/>
    <w:rsid w:val="008B08CC"/>
    <w:rsid w:val="008B0EBB"/>
    <w:rsid w:val="008B10D4"/>
    <w:rsid w:val="008B122E"/>
    <w:rsid w:val="008B14EE"/>
    <w:rsid w:val="008B1979"/>
    <w:rsid w:val="008B20EF"/>
    <w:rsid w:val="008B3946"/>
    <w:rsid w:val="008B4652"/>
    <w:rsid w:val="008B5532"/>
    <w:rsid w:val="008B6312"/>
    <w:rsid w:val="008B6F45"/>
    <w:rsid w:val="008B6FDF"/>
    <w:rsid w:val="008C1B7F"/>
    <w:rsid w:val="008C1F60"/>
    <w:rsid w:val="008C201C"/>
    <w:rsid w:val="008C3B24"/>
    <w:rsid w:val="008C4341"/>
    <w:rsid w:val="008C605B"/>
    <w:rsid w:val="008C6E5B"/>
    <w:rsid w:val="008C7A49"/>
    <w:rsid w:val="008C7D4F"/>
    <w:rsid w:val="008D0401"/>
    <w:rsid w:val="008D07D7"/>
    <w:rsid w:val="008D1263"/>
    <w:rsid w:val="008D1965"/>
    <w:rsid w:val="008D1E33"/>
    <w:rsid w:val="008D236E"/>
    <w:rsid w:val="008D32CC"/>
    <w:rsid w:val="008D51F3"/>
    <w:rsid w:val="008D596A"/>
    <w:rsid w:val="008D5E7D"/>
    <w:rsid w:val="008D686F"/>
    <w:rsid w:val="008D7261"/>
    <w:rsid w:val="008D74B6"/>
    <w:rsid w:val="008E09BB"/>
    <w:rsid w:val="008E1BB9"/>
    <w:rsid w:val="008E1C8C"/>
    <w:rsid w:val="008E1F72"/>
    <w:rsid w:val="008E38F7"/>
    <w:rsid w:val="008E38FC"/>
    <w:rsid w:val="008E4868"/>
    <w:rsid w:val="008E4905"/>
    <w:rsid w:val="008E5226"/>
    <w:rsid w:val="008E630F"/>
    <w:rsid w:val="008E6DA9"/>
    <w:rsid w:val="008F01F9"/>
    <w:rsid w:val="008F0E84"/>
    <w:rsid w:val="008F4872"/>
    <w:rsid w:val="008F5CCD"/>
    <w:rsid w:val="008F61F2"/>
    <w:rsid w:val="009003CC"/>
    <w:rsid w:val="009005B9"/>
    <w:rsid w:val="00901384"/>
    <w:rsid w:val="009017BC"/>
    <w:rsid w:val="00901DBB"/>
    <w:rsid w:val="00901F3D"/>
    <w:rsid w:val="00902263"/>
    <w:rsid w:val="00902924"/>
    <w:rsid w:val="0090293D"/>
    <w:rsid w:val="00904964"/>
    <w:rsid w:val="009060A9"/>
    <w:rsid w:val="009060C2"/>
    <w:rsid w:val="00910122"/>
    <w:rsid w:val="009102B1"/>
    <w:rsid w:val="009110D8"/>
    <w:rsid w:val="00911E43"/>
    <w:rsid w:val="009129FA"/>
    <w:rsid w:val="00913B2B"/>
    <w:rsid w:val="009148E9"/>
    <w:rsid w:val="00915ECE"/>
    <w:rsid w:val="0091642B"/>
    <w:rsid w:val="00916A56"/>
    <w:rsid w:val="009179C0"/>
    <w:rsid w:val="00917FA5"/>
    <w:rsid w:val="0092028F"/>
    <w:rsid w:val="009206FC"/>
    <w:rsid w:val="00921531"/>
    <w:rsid w:val="009222B1"/>
    <w:rsid w:val="0092264B"/>
    <w:rsid w:val="00922E75"/>
    <w:rsid w:val="00922FA4"/>
    <w:rsid w:val="00925CFB"/>
    <w:rsid w:val="00926552"/>
    <w:rsid w:val="00926A4D"/>
    <w:rsid w:val="009270DB"/>
    <w:rsid w:val="009278B8"/>
    <w:rsid w:val="009278F1"/>
    <w:rsid w:val="00927F2A"/>
    <w:rsid w:val="00931563"/>
    <w:rsid w:val="009319F1"/>
    <w:rsid w:val="00932A2E"/>
    <w:rsid w:val="00934530"/>
    <w:rsid w:val="00934C51"/>
    <w:rsid w:val="00935168"/>
    <w:rsid w:val="00936925"/>
    <w:rsid w:val="00940725"/>
    <w:rsid w:val="0094111F"/>
    <w:rsid w:val="00941FB7"/>
    <w:rsid w:val="009421A7"/>
    <w:rsid w:val="009431B0"/>
    <w:rsid w:val="0094371A"/>
    <w:rsid w:val="00944092"/>
    <w:rsid w:val="009447AE"/>
    <w:rsid w:val="00944861"/>
    <w:rsid w:val="00944B69"/>
    <w:rsid w:val="00944E49"/>
    <w:rsid w:val="0094591A"/>
    <w:rsid w:val="0094726E"/>
    <w:rsid w:val="009475BE"/>
    <w:rsid w:val="0094797C"/>
    <w:rsid w:val="00950322"/>
    <w:rsid w:val="0095032A"/>
    <w:rsid w:val="00951E53"/>
    <w:rsid w:val="0095215F"/>
    <w:rsid w:val="009522DA"/>
    <w:rsid w:val="009527BE"/>
    <w:rsid w:val="00955EAD"/>
    <w:rsid w:val="0095645C"/>
    <w:rsid w:val="00956E86"/>
    <w:rsid w:val="00960383"/>
    <w:rsid w:val="009604CD"/>
    <w:rsid w:val="00961EFB"/>
    <w:rsid w:val="00962688"/>
    <w:rsid w:val="00963111"/>
    <w:rsid w:val="0096392D"/>
    <w:rsid w:val="00964E20"/>
    <w:rsid w:val="0096541C"/>
    <w:rsid w:val="0096578C"/>
    <w:rsid w:val="00966368"/>
    <w:rsid w:val="009665B5"/>
    <w:rsid w:val="0096687F"/>
    <w:rsid w:val="00966F14"/>
    <w:rsid w:val="009677D2"/>
    <w:rsid w:val="00967C9C"/>
    <w:rsid w:val="00970A47"/>
    <w:rsid w:val="00970B78"/>
    <w:rsid w:val="00971711"/>
    <w:rsid w:val="0097372A"/>
    <w:rsid w:val="009737C9"/>
    <w:rsid w:val="009756A0"/>
    <w:rsid w:val="00975EC3"/>
    <w:rsid w:val="009763A3"/>
    <w:rsid w:val="00976F82"/>
    <w:rsid w:val="009770F4"/>
    <w:rsid w:val="00977DA1"/>
    <w:rsid w:val="00977F56"/>
    <w:rsid w:val="00980357"/>
    <w:rsid w:val="00980B38"/>
    <w:rsid w:val="00981C8F"/>
    <w:rsid w:val="0098320D"/>
    <w:rsid w:val="00984325"/>
    <w:rsid w:val="00986487"/>
    <w:rsid w:val="00986AE6"/>
    <w:rsid w:val="00990351"/>
    <w:rsid w:val="00992A5D"/>
    <w:rsid w:val="00992F83"/>
    <w:rsid w:val="0099359C"/>
    <w:rsid w:val="009944ED"/>
    <w:rsid w:val="00995915"/>
    <w:rsid w:val="00996335"/>
    <w:rsid w:val="00996473"/>
    <w:rsid w:val="009975FA"/>
    <w:rsid w:val="009A0DB9"/>
    <w:rsid w:val="009A41A7"/>
    <w:rsid w:val="009A5060"/>
    <w:rsid w:val="009A7259"/>
    <w:rsid w:val="009B1171"/>
    <w:rsid w:val="009B30DD"/>
    <w:rsid w:val="009B4498"/>
    <w:rsid w:val="009B4CF9"/>
    <w:rsid w:val="009B5ACB"/>
    <w:rsid w:val="009B6A36"/>
    <w:rsid w:val="009B6EEF"/>
    <w:rsid w:val="009C004C"/>
    <w:rsid w:val="009C06AC"/>
    <w:rsid w:val="009C239C"/>
    <w:rsid w:val="009C3DAD"/>
    <w:rsid w:val="009C4F53"/>
    <w:rsid w:val="009C67A0"/>
    <w:rsid w:val="009C713C"/>
    <w:rsid w:val="009C7879"/>
    <w:rsid w:val="009C797E"/>
    <w:rsid w:val="009D0896"/>
    <w:rsid w:val="009D2B53"/>
    <w:rsid w:val="009D2DAA"/>
    <w:rsid w:val="009D3385"/>
    <w:rsid w:val="009D3DE3"/>
    <w:rsid w:val="009D53FE"/>
    <w:rsid w:val="009D61DF"/>
    <w:rsid w:val="009D6473"/>
    <w:rsid w:val="009D6B3B"/>
    <w:rsid w:val="009D6CFF"/>
    <w:rsid w:val="009D75F5"/>
    <w:rsid w:val="009D7815"/>
    <w:rsid w:val="009D7B50"/>
    <w:rsid w:val="009E08E3"/>
    <w:rsid w:val="009E24AF"/>
    <w:rsid w:val="009E2C9E"/>
    <w:rsid w:val="009E4BBF"/>
    <w:rsid w:val="009E60D3"/>
    <w:rsid w:val="009E62F8"/>
    <w:rsid w:val="009E69CA"/>
    <w:rsid w:val="009F0996"/>
    <w:rsid w:val="009F1DD2"/>
    <w:rsid w:val="009F39D2"/>
    <w:rsid w:val="009F40CF"/>
    <w:rsid w:val="009F456A"/>
    <w:rsid w:val="009F4E5C"/>
    <w:rsid w:val="009F4E77"/>
    <w:rsid w:val="009F53D9"/>
    <w:rsid w:val="009F5422"/>
    <w:rsid w:val="009F5A1B"/>
    <w:rsid w:val="009F72AB"/>
    <w:rsid w:val="009F7714"/>
    <w:rsid w:val="00A0092E"/>
    <w:rsid w:val="00A01422"/>
    <w:rsid w:val="00A02687"/>
    <w:rsid w:val="00A02B21"/>
    <w:rsid w:val="00A02B27"/>
    <w:rsid w:val="00A047D0"/>
    <w:rsid w:val="00A04C44"/>
    <w:rsid w:val="00A05565"/>
    <w:rsid w:val="00A0589E"/>
    <w:rsid w:val="00A07738"/>
    <w:rsid w:val="00A0788E"/>
    <w:rsid w:val="00A1026F"/>
    <w:rsid w:val="00A10F06"/>
    <w:rsid w:val="00A11376"/>
    <w:rsid w:val="00A11C37"/>
    <w:rsid w:val="00A120EC"/>
    <w:rsid w:val="00A12820"/>
    <w:rsid w:val="00A1334F"/>
    <w:rsid w:val="00A13CAF"/>
    <w:rsid w:val="00A16C00"/>
    <w:rsid w:val="00A17512"/>
    <w:rsid w:val="00A17658"/>
    <w:rsid w:val="00A206A3"/>
    <w:rsid w:val="00A20930"/>
    <w:rsid w:val="00A20CD5"/>
    <w:rsid w:val="00A2141A"/>
    <w:rsid w:val="00A214FF"/>
    <w:rsid w:val="00A22B49"/>
    <w:rsid w:val="00A2474F"/>
    <w:rsid w:val="00A24D2B"/>
    <w:rsid w:val="00A25953"/>
    <w:rsid w:val="00A25998"/>
    <w:rsid w:val="00A268BE"/>
    <w:rsid w:val="00A268DF"/>
    <w:rsid w:val="00A26DD9"/>
    <w:rsid w:val="00A279B7"/>
    <w:rsid w:val="00A27BB0"/>
    <w:rsid w:val="00A31195"/>
    <w:rsid w:val="00A32B7B"/>
    <w:rsid w:val="00A3373C"/>
    <w:rsid w:val="00A33F69"/>
    <w:rsid w:val="00A3555A"/>
    <w:rsid w:val="00A35B61"/>
    <w:rsid w:val="00A36396"/>
    <w:rsid w:val="00A3654B"/>
    <w:rsid w:val="00A37155"/>
    <w:rsid w:val="00A37848"/>
    <w:rsid w:val="00A40D46"/>
    <w:rsid w:val="00A416D8"/>
    <w:rsid w:val="00A41734"/>
    <w:rsid w:val="00A41779"/>
    <w:rsid w:val="00A4180D"/>
    <w:rsid w:val="00A41C20"/>
    <w:rsid w:val="00A42183"/>
    <w:rsid w:val="00A43CB5"/>
    <w:rsid w:val="00A44084"/>
    <w:rsid w:val="00A4463C"/>
    <w:rsid w:val="00A446B8"/>
    <w:rsid w:val="00A4672C"/>
    <w:rsid w:val="00A46790"/>
    <w:rsid w:val="00A46BFE"/>
    <w:rsid w:val="00A472BD"/>
    <w:rsid w:val="00A50669"/>
    <w:rsid w:val="00A50B2C"/>
    <w:rsid w:val="00A51724"/>
    <w:rsid w:val="00A53E83"/>
    <w:rsid w:val="00A54F4E"/>
    <w:rsid w:val="00A56FFC"/>
    <w:rsid w:val="00A57387"/>
    <w:rsid w:val="00A6197D"/>
    <w:rsid w:val="00A629C9"/>
    <w:rsid w:val="00A637FA"/>
    <w:rsid w:val="00A64071"/>
    <w:rsid w:val="00A64E0B"/>
    <w:rsid w:val="00A650C7"/>
    <w:rsid w:val="00A66C84"/>
    <w:rsid w:val="00A70B13"/>
    <w:rsid w:val="00A722EE"/>
    <w:rsid w:val="00A72A45"/>
    <w:rsid w:val="00A74716"/>
    <w:rsid w:val="00A751C6"/>
    <w:rsid w:val="00A758D4"/>
    <w:rsid w:val="00A762F8"/>
    <w:rsid w:val="00A771C4"/>
    <w:rsid w:val="00A771E2"/>
    <w:rsid w:val="00A772EA"/>
    <w:rsid w:val="00A77AF4"/>
    <w:rsid w:val="00A80188"/>
    <w:rsid w:val="00A811B0"/>
    <w:rsid w:val="00A81F87"/>
    <w:rsid w:val="00A82D27"/>
    <w:rsid w:val="00A82D2E"/>
    <w:rsid w:val="00A83299"/>
    <w:rsid w:val="00A87397"/>
    <w:rsid w:val="00A902EA"/>
    <w:rsid w:val="00A90547"/>
    <w:rsid w:val="00A905CD"/>
    <w:rsid w:val="00A90BFA"/>
    <w:rsid w:val="00A90C09"/>
    <w:rsid w:val="00A90CEC"/>
    <w:rsid w:val="00A91377"/>
    <w:rsid w:val="00A919BC"/>
    <w:rsid w:val="00A91CC1"/>
    <w:rsid w:val="00A93E27"/>
    <w:rsid w:val="00A944BE"/>
    <w:rsid w:val="00A954A2"/>
    <w:rsid w:val="00A95EC8"/>
    <w:rsid w:val="00A96379"/>
    <w:rsid w:val="00A974AC"/>
    <w:rsid w:val="00AA07F2"/>
    <w:rsid w:val="00AA086A"/>
    <w:rsid w:val="00AA12C9"/>
    <w:rsid w:val="00AA1568"/>
    <w:rsid w:val="00AA1714"/>
    <w:rsid w:val="00AA2509"/>
    <w:rsid w:val="00AA49C8"/>
    <w:rsid w:val="00AA5E35"/>
    <w:rsid w:val="00AA7D20"/>
    <w:rsid w:val="00AB1934"/>
    <w:rsid w:val="00AB2CFC"/>
    <w:rsid w:val="00AB2E58"/>
    <w:rsid w:val="00AB33AA"/>
    <w:rsid w:val="00AB39CA"/>
    <w:rsid w:val="00AB3C23"/>
    <w:rsid w:val="00AB3F95"/>
    <w:rsid w:val="00AB48B2"/>
    <w:rsid w:val="00AB49D9"/>
    <w:rsid w:val="00AB4A60"/>
    <w:rsid w:val="00AB541B"/>
    <w:rsid w:val="00AB6071"/>
    <w:rsid w:val="00AB6097"/>
    <w:rsid w:val="00AB644F"/>
    <w:rsid w:val="00AB6501"/>
    <w:rsid w:val="00AB6A36"/>
    <w:rsid w:val="00AB7A84"/>
    <w:rsid w:val="00AC0CF4"/>
    <w:rsid w:val="00AC16FC"/>
    <w:rsid w:val="00AC254F"/>
    <w:rsid w:val="00AC2757"/>
    <w:rsid w:val="00AC43AF"/>
    <w:rsid w:val="00AC56F9"/>
    <w:rsid w:val="00AC6578"/>
    <w:rsid w:val="00AC6A04"/>
    <w:rsid w:val="00AC6C3C"/>
    <w:rsid w:val="00AD24A8"/>
    <w:rsid w:val="00AD38D5"/>
    <w:rsid w:val="00AD43C8"/>
    <w:rsid w:val="00AD4F9B"/>
    <w:rsid w:val="00AD5963"/>
    <w:rsid w:val="00AD5E64"/>
    <w:rsid w:val="00AD5FA0"/>
    <w:rsid w:val="00AE051A"/>
    <w:rsid w:val="00AE0F32"/>
    <w:rsid w:val="00AE1128"/>
    <w:rsid w:val="00AE13DD"/>
    <w:rsid w:val="00AE1701"/>
    <w:rsid w:val="00AE17F0"/>
    <w:rsid w:val="00AE1EEA"/>
    <w:rsid w:val="00AE24F5"/>
    <w:rsid w:val="00AE318F"/>
    <w:rsid w:val="00AE4EC3"/>
    <w:rsid w:val="00AE5350"/>
    <w:rsid w:val="00AE6913"/>
    <w:rsid w:val="00AE6D98"/>
    <w:rsid w:val="00AF00AD"/>
    <w:rsid w:val="00AF06BB"/>
    <w:rsid w:val="00AF1022"/>
    <w:rsid w:val="00AF2472"/>
    <w:rsid w:val="00AF3423"/>
    <w:rsid w:val="00AF5F0A"/>
    <w:rsid w:val="00AF63D4"/>
    <w:rsid w:val="00AF64EF"/>
    <w:rsid w:val="00AF7524"/>
    <w:rsid w:val="00AF7625"/>
    <w:rsid w:val="00AF7FD6"/>
    <w:rsid w:val="00B003CC"/>
    <w:rsid w:val="00B00400"/>
    <w:rsid w:val="00B00420"/>
    <w:rsid w:val="00B01DE8"/>
    <w:rsid w:val="00B02713"/>
    <w:rsid w:val="00B02D28"/>
    <w:rsid w:val="00B02DA0"/>
    <w:rsid w:val="00B03FE1"/>
    <w:rsid w:val="00B049BD"/>
    <w:rsid w:val="00B07E17"/>
    <w:rsid w:val="00B11482"/>
    <w:rsid w:val="00B14354"/>
    <w:rsid w:val="00B1451B"/>
    <w:rsid w:val="00B14B41"/>
    <w:rsid w:val="00B153B8"/>
    <w:rsid w:val="00B167D4"/>
    <w:rsid w:val="00B1687E"/>
    <w:rsid w:val="00B17441"/>
    <w:rsid w:val="00B209C4"/>
    <w:rsid w:val="00B21A14"/>
    <w:rsid w:val="00B24122"/>
    <w:rsid w:val="00B244FA"/>
    <w:rsid w:val="00B24FCE"/>
    <w:rsid w:val="00B30AE0"/>
    <w:rsid w:val="00B30CBF"/>
    <w:rsid w:val="00B312F4"/>
    <w:rsid w:val="00B31AD6"/>
    <w:rsid w:val="00B32170"/>
    <w:rsid w:val="00B32EA1"/>
    <w:rsid w:val="00B350B5"/>
    <w:rsid w:val="00B3525D"/>
    <w:rsid w:val="00B35D40"/>
    <w:rsid w:val="00B40D70"/>
    <w:rsid w:val="00B40EA2"/>
    <w:rsid w:val="00B43D18"/>
    <w:rsid w:val="00B44BE6"/>
    <w:rsid w:val="00B4588F"/>
    <w:rsid w:val="00B47811"/>
    <w:rsid w:val="00B5069C"/>
    <w:rsid w:val="00B50FB6"/>
    <w:rsid w:val="00B51BDC"/>
    <w:rsid w:val="00B526F4"/>
    <w:rsid w:val="00B52AEF"/>
    <w:rsid w:val="00B52E61"/>
    <w:rsid w:val="00B53B23"/>
    <w:rsid w:val="00B54598"/>
    <w:rsid w:val="00B54916"/>
    <w:rsid w:val="00B54BA2"/>
    <w:rsid w:val="00B55789"/>
    <w:rsid w:val="00B565BE"/>
    <w:rsid w:val="00B566A0"/>
    <w:rsid w:val="00B57F97"/>
    <w:rsid w:val="00B603CD"/>
    <w:rsid w:val="00B61652"/>
    <w:rsid w:val="00B61A5B"/>
    <w:rsid w:val="00B63146"/>
    <w:rsid w:val="00B633F7"/>
    <w:rsid w:val="00B634B2"/>
    <w:rsid w:val="00B65B8E"/>
    <w:rsid w:val="00B668DE"/>
    <w:rsid w:val="00B675D7"/>
    <w:rsid w:val="00B678AF"/>
    <w:rsid w:val="00B67B0A"/>
    <w:rsid w:val="00B7031E"/>
    <w:rsid w:val="00B71630"/>
    <w:rsid w:val="00B719CA"/>
    <w:rsid w:val="00B7204F"/>
    <w:rsid w:val="00B7331F"/>
    <w:rsid w:val="00B73978"/>
    <w:rsid w:val="00B76C44"/>
    <w:rsid w:val="00B76D2B"/>
    <w:rsid w:val="00B77C7B"/>
    <w:rsid w:val="00B803F9"/>
    <w:rsid w:val="00B80441"/>
    <w:rsid w:val="00B80895"/>
    <w:rsid w:val="00B82368"/>
    <w:rsid w:val="00B83C98"/>
    <w:rsid w:val="00B854F7"/>
    <w:rsid w:val="00B8602D"/>
    <w:rsid w:val="00B86344"/>
    <w:rsid w:val="00B86367"/>
    <w:rsid w:val="00B86C12"/>
    <w:rsid w:val="00B87FA9"/>
    <w:rsid w:val="00B911E6"/>
    <w:rsid w:val="00B92ED4"/>
    <w:rsid w:val="00B9319F"/>
    <w:rsid w:val="00B93582"/>
    <w:rsid w:val="00B939D1"/>
    <w:rsid w:val="00B93A54"/>
    <w:rsid w:val="00B93FBA"/>
    <w:rsid w:val="00B95057"/>
    <w:rsid w:val="00B96169"/>
    <w:rsid w:val="00B96E44"/>
    <w:rsid w:val="00BA0FA0"/>
    <w:rsid w:val="00BA1B5F"/>
    <w:rsid w:val="00BA34EC"/>
    <w:rsid w:val="00BA37AF"/>
    <w:rsid w:val="00BA45C8"/>
    <w:rsid w:val="00BA47AB"/>
    <w:rsid w:val="00BA5E36"/>
    <w:rsid w:val="00BA75BF"/>
    <w:rsid w:val="00BB312F"/>
    <w:rsid w:val="00BB4C10"/>
    <w:rsid w:val="00BB5693"/>
    <w:rsid w:val="00BB7638"/>
    <w:rsid w:val="00BC1AE6"/>
    <w:rsid w:val="00BC1F15"/>
    <w:rsid w:val="00BC2704"/>
    <w:rsid w:val="00BC2AB6"/>
    <w:rsid w:val="00BC2B51"/>
    <w:rsid w:val="00BC2DC3"/>
    <w:rsid w:val="00BC370A"/>
    <w:rsid w:val="00BC3CE6"/>
    <w:rsid w:val="00BC4C58"/>
    <w:rsid w:val="00BC5E92"/>
    <w:rsid w:val="00BC6C9B"/>
    <w:rsid w:val="00BC710A"/>
    <w:rsid w:val="00BD01D3"/>
    <w:rsid w:val="00BD030A"/>
    <w:rsid w:val="00BD06F0"/>
    <w:rsid w:val="00BD0873"/>
    <w:rsid w:val="00BD0BB9"/>
    <w:rsid w:val="00BD0CAC"/>
    <w:rsid w:val="00BD18D2"/>
    <w:rsid w:val="00BD282A"/>
    <w:rsid w:val="00BD3A1B"/>
    <w:rsid w:val="00BD3E42"/>
    <w:rsid w:val="00BD4B4C"/>
    <w:rsid w:val="00BD4E40"/>
    <w:rsid w:val="00BD5353"/>
    <w:rsid w:val="00BD7D5E"/>
    <w:rsid w:val="00BE14F1"/>
    <w:rsid w:val="00BE18A8"/>
    <w:rsid w:val="00BE1B92"/>
    <w:rsid w:val="00BE2D5E"/>
    <w:rsid w:val="00BE3820"/>
    <w:rsid w:val="00BE46DA"/>
    <w:rsid w:val="00BE5598"/>
    <w:rsid w:val="00BE5E14"/>
    <w:rsid w:val="00BE6C7A"/>
    <w:rsid w:val="00BF2119"/>
    <w:rsid w:val="00BF25A7"/>
    <w:rsid w:val="00BF32E3"/>
    <w:rsid w:val="00BF3393"/>
    <w:rsid w:val="00BF35C7"/>
    <w:rsid w:val="00BF3E1D"/>
    <w:rsid w:val="00BF4CBD"/>
    <w:rsid w:val="00BF76A1"/>
    <w:rsid w:val="00C011C9"/>
    <w:rsid w:val="00C02C29"/>
    <w:rsid w:val="00C03175"/>
    <w:rsid w:val="00C03BCB"/>
    <w:rsid w:val="00C03D73"/>
    <w:rsid w:val="00C0416C"/>
    <w:rsid w:val="00C05181"/>
    <w:rsid w:val="00C06BB4"/>
    <w:rsid w:val="00C07B8C"/>
    <w:rsid w:val="00C10D83"/>
    <w:rsid w:val="00C10F0D"/>
    <w:rsid w:val="00C121D1"/>
    <w:rsid w:val="00C127D4"/>
    <w:rsid w:val="00C1337F"/>
    <w:rsid w:val="00C13DF2"/>
    <w:rsid w:val="00C14840"/>
    <w:rsid w:val="00C14CEF"/>
    <w:rsid w:val="00C1536A"/>
    <w:rsid w:val="00C210DC"/>
    <w:rsid w:val="00C21C71"/>
    <w:rsid w:val="00C22ABA"/>
    <w:rsid w:val="00C23454"/>
    <w:rsid w:val="00C24D9E"/>
    <w:rsid w:val="00C254DD"/>
    <w:rsid w:val="00C27635"/>
    <w:rsid w:val="00C30449"/>
    <w:rsid w:val="00C30655"/>
    <w:rsid w:val="00C30C75"/>
    <w:rsid w:val="00C31EA5"/>
    <w:rsid w:val="00C3227A"/>
    <w:rsid w:val="00C323BC"/>
    <w:rsid w:val="00C331BA"/>
    <w:rsid w:val="00C33B92"/>
    <w:rsid w:val="00C33FC8"/>
    <w:rsid w:val="00C3416C"/>
    <w:rsid w:val="00C35B84"/>
    <w:rsid w:val="00C379A0"/>
    <w:rsid w:val="00C410E5"/>
    <w:rsid w:val="00C42BC5"/>
    <w:rsid w:val="00C438B1"/>
    <w:rsid w:val="00C43DD5"/>
    <w:rsid w:val="00C4456E"/>
    <w:rsid w:val="00C47AF2"/>
    <w:rsid w:val="00C5064E"/>
    <w:rsid w:val="00C50777"/>
    <w:rsid w:val="00C50CDD"/>
    <w:rsid w:val="00C51AAD"/>
    <w:rsid w:val="00C51B33"/>
    <w:rsid w:val="00C51C5E"/>
    <w:rsid w:val="00C5206F"/>
    <w:rsid w:val="00C52AE4"/>
    <w:rsid w:val="00C52AF0"/>
    <w:rsid w:val="00C56201"/>
    <w:rsid w:val="00C57DA2"/>
    <w:rsid w:val="00C57EAD"/>
    <w:rsid w:val="00C61EF6"/>
    <w:rsid w:val="00C61F4E"/>
    <w:rsid w:val="00C6257F"/>
    <w:rsid w:val="00C63195"/>
    <w:rsid w:val="00C63A93"/>
    <w:rsid w:val="00C642F5"/>
    <w:rsid w:val="00C651AF"/>
    <w:rsid w:val="00C65221"/>
    <w:rsid w:val="00C659D6"/>
    <w:rsid w:val="00C65A56"/>
    <w:rsid w:val="00C66681"/>
    <w:rsid w:val="00C670BA"/>
    <w:rsid w:val="00C67417"/>
    <w:rsid w:val="00C677EF"/>
    <w:rsid w:val="00C67C52"/>
    <w:rsid w:val="00C705F4"/>
    <w:rsid w:val="00C711BE"/>
    <w:rsid w:val="00C71F39"/>
    <w:rsid w:val="00C73461"/>
    <w:rsid w:val="00C770BD"/>
    <w:rsid w:val="00C80A37"/>
    <w:rsid w:val="00C8203F"/>
    <w:rsid w:val="00C826C8"/>
    <w:rsid w:val="00C82A7B"/>
    <w:rsid w:val="00C8421C"/>
    <w:rsid w:val="00C84B31"/>
    <w:rsid w:val="00C86870"/>
    <w:rsid w:val="00C875F1"/>
    <w:rsid w:val="00C87DFB"/>
    <w:rsid w:val="00C91FE3"/>
    <w:rsid w:val="00C93256"/>
    <w:rsid w:val="00C934EC"/>
    <w:rsid w:val="00C949E5"/>
    <w:rsid w:val="00C94BC0"/>
    <w:rsid w:val="00C96473"/>
    <w:rsid w:val="00C9649E"/>
    <w:rsid w:val="00C96531"/>
    <w:rsid w:val="00C968DC"/>
    <w:rsid w:val="00C971B7"/>
    <w:rsid w:val="00CA0BAE"/>
    <w:rsid w:val="00CA1C7F"/>
    <w:rsid w:val="00CA1D5D"/>
    <w:rsid w:val="00CA291E"/>
    <w:rsid w:val="00CA3F8C"/>
    <w:rsid w:val="00CA6C05"/>
    <w:rsid w:val="00CB0019"/>
    <w:rsid w:val="00CB07E6"/>
    <w:rsid w:val="00CB09DA"/>
    <w:rsid w:val="00CB0EED"/>
    <w:rsid w:val="00CB13C2"/>
    <w:rsid w:val="00CB1548"/>
    <w:rsid w:val="00CB1734"/>
    <w:rsid w:val="00CB1A7D"/>
    <w:rsid w:val="00CB1DD2"/>
    <w:rsid w:val="00CB3CFA"/>
    <w:rsid w:val="00CB509A"/>
    <w:rsid w:val="00CB6AD4"/>
    <w:rsid w:val="00CB7997"/>
    <w:rsid w:val="00CC1505"/>
    <w:rsid w:val="00CC1FFA"/>
    <w:rsid w:val="00CC23E9"/>
    <w:rsid w:val="00CC2929"/>
    <w:rsid w:val="00CC34DF"/>
    <w:rsid w:val="00CC3D22"/>
    <w:rsid w:val="00CC480D"/>
    <w:rsid w:val="00CD09B9"/>
    <w:rsid w:val="00CD09FC"/>
    <w:rsid w:val="00CD195F"/>
    <w:rsid w:val="00CD2072"/>
    <w:rsid w:val="00CD2637"/>
    <w:rsid w:val="00CD28E6"/>
    <w:rsid w:val="00CD3123"/>
    <w:rsid w:val="00CD3C9F"/>
    <w:rsid w:val="00CD5071"/>
    <w:rsid w:val="00CD581A"/>
    <w:rsid w:val="00CD64C9"/>
    <w:rsid w:val="00CE0D21"/>
    <w:rsid w:val="00CE1B08"/>
    <w:rsid w:val="00CE24A7"/>
    <w:rsid w:val="00CE2B1D"/>
    <w:rsid w:val="00CE3323"/>
    <w:rsid w:val="00CE39D3"/>
    <w:rsid w:val="00CE3B11"/>
    <w:rsid w:val="00CE406C"/>
    <w:rsid w:val="00CE4244"/>
    <w:rsid w:val="00CE671D"/>
    <w:rsid w:val="00CF0903"/>
    <w:rsid w:val="00CF3EF1"/>
    <w:rsid w:val="00CF3F03"/>
    <w:rsid w:val="00CF6053"/>
    <w:rsid w:val="00CF75C7"/>
    <w:rsid w:val="00CF76C3"/>
    <w:rsid w:val="00CF7AE6"/>
    <w:rsid w:val="00CF7C2D"/>
    <w:rsid w:val="00D05E59"/>
    <w:rsid w:val="00D06F70"/>
    <w:rsid w:val="00D07A8B"/>
    <w:rsid w:val="00D07B14"/>
    <w:rsid w:val="00D11761"/>
    <w:rsid w:val="00D11C03"/>
    <w:rsid w:val="00D128B7"/>
    <w:rsid w:val="00D12CA7"/>
    <w:rsid w:val="00D13AB1"/>
    <w:rsid w:val="00D1573C"/>
    <w:rsid w:val="00D1594B"/>
    <w:rsid w:val="00D16AD3"/>
    <w:rsid w:val="00D20713"/>
    <w:rsid w:val="00D20C46"/>
    <w:rsid w:val="00D20FBB"/>
    <w:rsid w:val="00D2170F"/>
    <w:rsid w:val="00D21A9E"/>
    <w:rsid w:val="00D22999"/>
    <w:rsid w:val="00D22CCF"/>
    <w:rsid w:val="00D23570"/>
    <w:rsid w:val="00D23BB6"/>
    <w:rsid w:val="00D24980"/>
    <w:rsid w:val="00D25C91"/>
    <w:rsid w:val="00D26813"/>
    <w:rsid w:val="00D26EFC"/>
    <w:rsid w:val="00D2795B"/>
    <w:rsid w:val="00D301FF"/>
    <w:rsid w:val="00D30A81"/>
    <w:rsid w:val="00D310D5"/>
    <w:rsid w:val="00D31351"/>
    <w:rsid w:val="00D31483"/>
    <w:rsid w:val="00D32B71"/>
    <w:rsid w:val="00D33617"/>
    <w:rsid w:val="00D33B47"/>
    <w:rsid w:val="00D346FA"/>
    <w:rsid w:val="00D348FF"/>
    <w:rsid w:val="00D374DD"/>
    <w:rsid w:val="00D418A1"/>
    <w:rsid w:val="00D41C0D"/>
    <w:rsid w:val="00D42766"/>
    <w:rsid w:val="00D43B2B"/>
    <w:rsid w:val="00D4452A"/>
    <w:rsid w:val="00D44B90"/>
    <w:rsid w:val="00D4690E"/>
    <w:rsid w:val="00D47157"/>
    <w:rsid w:val="00D51ED5"/>
    <w:rsid w:val="00D53814"/>
    <w:rsid w:val="00D54F9F"/>
    <w:rsid w:val="00D55023"/>
    <w:rsid w:val="00D5535A"/>
    <w:rsid w:val="00D5557A"/>
    <w:rsid w:val="00D56289"/>
    <w:rsid w:val="00D5635C"/>
    <w:rsid w:val="00D563CC"/>
    <w:rsid w:val="00D57110"/>
    <w:rsid w:val="00D57A45"/>
    <w:rsid w:val="00D57AA3"/>
    <w:rsid w:val="00D6020C"/>
    <w:rsid w:val="00D602ED"/>
    <w:rsid w:val="00D60855"/>
    <w:rsid w:val="00D610F1"/>
    <w:rsid w:val="00D61A2A"/>
    <w:rsid w:val="00D62204"/>
    <w:rsid w:val="00D627DE"/>
    <w:rsid w:val="00D63FF5"/>
    <w:rsid w:val="00D640E2"/>
    <w:rsid w:val="00D64708"/>
    <w:rsid w:val="00D64E28"/>
    <w:rsid w:val="00D6550C"/>
    <w:rsid w:val="00D7000D"/>
    <w:rsid w:val="00D70166"/>
    <w:rsid w:val="00D724D8"/>
    <w:rsid w:val="00D724F3"/>
    <w:rsid w:val="00D73293"/>
    <w:rsid w:val="00D73F39"/>
    <w:rsid w:val="00D74117"/>
    <w:rsid w:val="00D75F5D"/>
    <w:rsid w:val="00D77A30"/>
    <w:rsid w:val="00D80A57"/>
    <w:rsid w:val="00D80CFB"/>
    <w:rsid w:val="00D81D04"/>
    <w:rsid w:val="00D81DD1"/>
    <w:rsid w:val="00D82175"/>
    <w:rsid w:val="00D83ADC"/>
    <w:rsid w:val="00D83E35"/>
    <w:rsid w:val="00D8460A"/>
    <w:rsid w:val="00D849BE"/>
    <w:rsid w:val="00D85C64"/>
    <w:rsid w:val="00D85E3A"/>
    <w:rsid w:val="00D8673F"/>
    <w:rsid w:val="00D900C0"/>
    <w:rsid w:val="00D90599"/>
    <w:rsid w:val="00D90B79"/>
    <w:rsid w:val="00D90E63"/>
    <w:rsid w:val="00D91C49"/>
    <w:rsid w:val="00D92148"/>
    <w:rsid w:val="00D92152"/>
    <w:rsid w:val="00D92744"/>
    <w:rsid w:val="00D92D60"/>
    <w:rsid w:val="00D9370F"/>
    <w:rsid w:val="00D93724"/>
    <w:rsid w:val="00D960D3"/>
    <w:rsid w:val="00D968BC"/>
    <w:rsid w:val="00DA0232"/>
    <w:rsid w:val="00DA1D65"/>
    <w:rsid w:val="00DA27B8"/>
    <w:rsid w:val="00DA2B4B"/>
    <w:rsid w:val="00DA31E9"/>
    <w:rsid w:val="00DA3352"/>
    <w:rsid w:val="00DA35B3"/>
    <w:rsid w:val="00DA54E1"/>
    <w:rsid w:val="00DA55C1"/>
    <w:rsid w:val="00DA6FED"/>
    <w:rsid w:val="00DA71F2"/>
    <w:rsid w:val="00DA7392"/>
    <w:rsid w:val="00DA756F"/>
    <w:rsid w:val="00DA76A1"/>
    <w:rsid w:val="00DB17C4"/>
    <w:rsid w:val="00DB20F4"/>
    <w:rsid w:val="00DB5432"/>
    <w:rsid w:val="00DB5660"/>
    <w:rsid w:val="00DB5999"/>
    <w:rsid w:val="00DB65B7"/>
    <w:rsid w:val="00DB6E79"/>
    <w:rsid w:val="00DB760A"/>
    <w:rsid w:val="00DC15D7"/>
    <w:rsid w:val="00DC2186"/>
    <w:rsid w:val="00DC219E"/>
    <w:rsid w:val="00DC2797"/>
    <w:rsid w:val="00DC28E4"/>
    <w:rsid w:val="00DC6472"/>
    <w:rsid w:val="00DC7629"/>
    <w:rsid w:val="00DD01A3"/>
    <w:rsid w:val="00DD1542"/>
    <w:rsid w:val="00DD1579"/>
    <w:rsid w:val="00DD1A27"/>
    <w:rsid w:val="00DD277D"/>
    <w:rsid w:val="00DD338F"/>
    <w:rsid w:val="00DD5999"/>
    <w:rsid w:val="00DD622D"/>
    <w:rsid w:val="00DD6556"/>
    <w:rsid w:val="00DE1835"/>
    <w:rsid w:val="00DE1B06"/>
    <w:rsid w:val="00DE2E30"/>
    <w:rsid w:val="00DE3105"/>
    <w:rsid w:val="00DE336B"/>
    <w:rsid w:val="00DE38CC"/>
    <w:rsid w:val="00DE3C88"/>
    <w:rsid w:val="00DE4BE7"/>
    <w:rsid w:val="00DE5665"/>
    <w:rsid w:val="00DE736B"/>
    <w:rsid w:val="00DF22E1"/>
    <w:rsid w:val="00DF2475"/>
    <w:rsid w:val="00DF346B"/>
    <w:rsid w:val="00DF48CC"/>
    <w:rsid w:val="00DF4D8E"/>
    <w:rsid w:val="00DF6C27"/>
    <w:rsid w:val="00DF6F06"/>
    <w:rsid w:val="00E015FA"/>
    <w:rsid w:val="00E019F3"/>
    <w:rsid w:val="00E01E6E"/>
    <w:rsid w:val="00E02A43"/>
    <w:rsid w:val="00E02FCD"/>
    <w:rsid w:val="00E050FB"/>
    <w:rsid w:val="00E067C7"/>
    <w:rsid w:val="00E07328"/>
    <w:rsid w:val="00E079DA"/>
    <w:rsid w:val="00E101CC"/>
    <w:rsid w:val="00E1026E"/>
    <w:rsid w:val="00E10F0C"/>
    <w:rsid w:val="00E10F3A"/>
    <w:rsid w:val="00E11526"/>
    <w:rsid w:val="00E11BAE"/>
    <w:rsid w:val="00E12B9A"/>
    <w:rsid w:val="00E12FEF"/>
    <w:rsid w:val="00E139FC"/>
    <w:rsid w:val="00E13D86"/>
    <w:rsid w:val="00E13EDF"/>
    <w:rsid w:val="00E14374"/>
    <w:rsid w:val="00E147A5"/>
    <w:rsid w:val="00E14F27"/>
    <w:rsid w:val="00E15AC9"/>
    <w:rsid w:val="00E16643"/>
    <w:rsid w:val="00E16CDA"/>
    <w:rsid w:val="00E16DC8"/>
    <w:rsid w:val="00E17239"/>
    <w:rsid w:val="00E174F7"/>
    <w:rsid w:val="00E176EC"/>
    <w:rsid w:val="00E20237"/>
    <w:rsid w:val="00E21E7F"/>
    <w:rsid w:val="00E22DBD"/>
    <w:rsid w:val="00E235F1"/>
    <w:rsid w:val="00E23872"/>
    <w:rsid w:val="00E24273"/>
    <w:rsid w:val="00E24451"/>
    <w:rsid w:val="00E27581"/>
    <w:rsid w:val="00E312BA"/>
    <w:rsid w:val="00E3175D"/>
    <w:rsid w:val="00E32021"/>
    <w:rsid w:val="00E323EB"/>
    <w:rsid w:val="00E33AB7"/>
    <w:rsid w:val="00E3409E"/>
    <w:rsid w:val="00E349D5"/>
    <w:rsid w:val="00E356F0"/>
    <w:rsid w:val="00E372B4"/>
    <w:rsid w:val="00E37D3A"/>
    <w:rsid w:val="00E37EB4"/>
    <w:rsid w:val="00E40908"/>
    <w:rsid w:val="00E4132F"/>
    <w:rsid w:val="00E422AE"/>
    <w:rsid w:val="00E42AA9"/>
    <w:rsid w:val="00E44228"/>
    <w:rsid w:val="00E44EA3"/>
    <w:rsid w:val="00E46EF9"/>
    <w:rsid w:val="00E47CAE"/>
    <w:rsid w:val="00E52456"/>
    <w:rsid w:val="00E528FD"/>
    <w:rsid w:val="00E5489B"/>
    <w:rsid w:val="00E56C92"/>
    <w:rsid w:val="00E56F8D"/>
    <w:rsid w:val="00E60125"/>
    <w:rsid w:val="00E61B82"/>
    <w:rsid w:val="00E626E6"/>
    <w:rsid w:val="00E62C1C"/>
    <w:rsid w:val="00E652FA"/>
    <w:rsid w:val="00E6570E"/>
    <w:rsid w:val="00E709AC"/>
    <w:rsid w:val="00E714A3"/>
    <w:rsid w:val="00E71F5D"/>
    <w:rsid w:val="00E728EC"/>
    <w:rsid w:val="00E72BE5"/>
    <w:rsid w:val="00E72F68"/>
    <w:rsid w:val="00E7450E"/>
    <w:rsid w:val="00E75B90"/>
    <w:rsid w:val="00E76837"/>
    <w:rsid w:val="00E80399"/>
    <w:rsid w:val="00E80922"/>
    <w:rsid w:val="00E8339A"/>
    <w:rsid w:val="00E83760"/>
    <w:rsid w:val="00E84F02"/>
    <w:rsid w:val="00E86630"/>
    <w:rsid w:val="00E867B4"/>
    <w:rsid w:val="00E87236"/>
    <w:rsid w:val="00E87C73"/>
    <w:rsid w:val="00E87DB8"/>
    <w:rsid w:val="00E92B1F"/>
    <w:rsid w:val="00E941E6"/>
    <w:rsid w:val="00E95845"/>
    <w:rsid w:val="00E958E7"/>
    <w:rsid w:val="00EA0258"/>
    <w:rsid w:val="00EA092C"/>
    <w:rsid w:val="00EA0B92"/>
    <w:rsid w:val="00EA1966"/>
    <w:rsid w:val="00EA1AD4"/>
    <w:rsid w:val="00EA289D"/>
    <w:rsid w:val="00EA2F5E"/>
    <w:rsid w:val="00EA304A"/>
    <w:rsid w:val="00EA3320"/>
    <w:rsid w:val="00EA38EB"/>
    <w:rsid w:val="00EA41CF"/>
    <w:rsid w:val="00EA489C"/>
    <w:rsid w:val="00EA4C2D"/>
    <w:rsid w:val="00EA5E5D"/>
    <w:rsid w:val="00EA63DB"/>
    <w:rsid w:val="00EA6604"/>
    <w:rsid w:val="00EA6783"/>
    <w:rsid w:val="00EA7187"/>
    <w:rsid w:val="00EA723D"/>
    <w:rsid w:val="00EA7C92"/>
    <w:rsid w:val="00EB010D"/>
    <w:rsid w:val="00EB0461"/>
    <w:rsid w:val="00EB1B49"/>
    <w:rsid w:val="00EB203B"/>
    <w:rsid w:val="00EB3A25"/>
    <w:rsid w:val="00EB3A99"/>
    <w:rsid w:val="00EB3FAA"/>
    <w:rsid w:val="00EB4B51"/>
    <w:rsid w:val="00EB4E0D"/>
    <w:rsid w:val="00EB666D"/>
    <w:rsid w:val="00EB7EB8"/>
    <w:rsid w:val="00EC040A"/>
    <w:rsid w:val="00EC06CE"/>
    <w:rsid w:val="00EC09C0"/>
    <w:rsid w:val="00EC1C07"/>
    <w:rsid w:val="00EC2CB4"/>
    <w:rsid w:val="00EC41DF"/>
    <w:rsid w:val="00EC4A40"/>
    <w:rsid w:val="00EC4BF9"/>
    <w:rsid w:val="00EC4FC0"/>
    <w:rsid w:val="00EC622F"/>
    <w:rsid w:val="00EC6885"/>
    <w:rsid w:val="00EC7E3B"/>
    <w:rsid w:val="00ED0945"/>
    <w:rsid w:val="00ED0A1A"/>
    <w:rsid w:val="00ED12C8"/>
    <w:rsid w:val="00ED1A60"/>
    <w:rsid w:val="00ED2283"/>
    <w:rsid w:val="00ED2F6B"/>
    <w:rsid w:val="00ED410A"/>
    <w:rsid w:val="00ED5627"/>
    <w:rsid w:val="00ED5853"/>
    <w:rsid w:val="00ED67AC"/>
    <w:rsid w:val="00ED686E"/>
    <w:rsid w:val="00ED6BB0"/>
    <w:rsid w:val="00ED6C2A"/>
    <w:rsid w:val="00ED7828"/>
    <w:rsid w:val="00EE0A9C"/>
    <w:rsid w:val="00EE1E9D"/>
    <w:rsid w:val="00EE1F96"/>
    <w:rsid w:val="00EE26A1"/>
    <w:rsid w:val="00EE28C3"/>
    <w:rsid w:val="00EE449C"/>
    <w:rsid w:val="00EE528E"/>
    <w:rsid w:val="00EE6A23"/>
    <w:rsid w:val="00EE7A52"/>
    <w:rsid w:val="00EE7F27"/>
    <w:rsid w:val="00EF0384"/>
    <w:rsid w:val="00EF1692"/>
    <w:rsid w:val="00EF21E9"/>
    <w:rsid w:val="00EF293B"/>
    <w:rsid w:val="00EF32DC"/>
    <w:rsid w:val="00EF431A"/>
    <w:rsid w:val="00EF4746"/>
    <w:rsid w:val="00EF482F"/>
    <w:rsid w:val="00EF4C34"/>
    <w:rsid w:val="00EF5136"/>
    <w:rsid w:val="00EF5C43"/>
    <w:rsid w:val="00EF6756"/>
    <w:rsid w:val="00EF6A3D"/>
    <w:rsid w:val="00EF6C72"/>
    <w:rsid w:val="00EF6FA6"/>
    <w:rsid w:val="00EF6FCB"/>
    <w:rsid w:val="00F004B3"/>
    <w:rsid w:val="00F01ADC"/>
    <w:rsid w:val="00F036EA"/>
    <w:rsid w:val="00F04347"/>
    <w:rsid w:val="00F04483"/>
    <w:rsid w:val="00F0506A"/>
    <w:rsid w:val="00F052BA"/>
    <w:rsid w:val="00F06CE7"/>
    <w:rsid w:val="00F06FE3"/>
    <w:rsid w:val="00F07749"/>
    <w:rsid w:val="00F07A25"/>
    <w:rsid w:val="00F104D0"/>
    <w:rsid w:val="00F110D8"/>
    <w:rsid w:val="00F123F2"/>
    <w:rsid w:val="00F12E75"/>
    <w:rsid w:val="00F12F5E"/>
    <w:rsid w:val="00F13B1B"/>
    <w:rsid w:val="00F1491C"/>
    <w:rsid w:val="00F15E18"/>
    <w:rsid w:val="00F16974"/>
    <w:rsid w:val="00F210C3"/>
    <w:rsid w:val="00F214D9"/>
    <w:rsid w:val="00F21E03"/>
    <w:rsid w:val="00F23063"/>
    <w:rsid w:val="00F24075"/>
    <w:rsid w:val="00F25CB6"/>
    <w:rsid w:val="00F25DA0"/>
    <w:rsid w:val="00F26340"/>
    <w:rsid w:val="00F26CA8"/>
    <w:rsid w:val="00F26FCD"/>
    <w:rsid w:val="00F27FCB"/>
    <w:rsid w:val="00F30358"/>
    <w:rsid w:val="00F30542"/>
    <w:rsid w:val="00F3087A"/>
    <w:rsid w:val="00F30EE0"/>
    <w:rsid w:val="00F312D0"/>
    <w:rsid w:val="00F316DD"/>
    <w:rsid w:val="00F32197"/>
    <w:rsid w:val="00F35866"/>
    <w:rsid w:val="00F35CDC"/>
    <w:rsid w:val="00F36EAB"/>
    <w:rsid w:val="00F37481"/>
    <w:rsid w:val="00F40593"/>
    <w:rsid w:val="00F41F63"/>
    <w:rsid w:val="00F43015"/>
    <w:rsid w:val="00F43BB1"/>
    <w:rsid w:val="00F444C6"/>
    <w:rsid w:val="00F4471B"/>
    <w:rsid w:val="00F44EF2"/>
    <w:rsid w:val="00F45991"/>
    <w:rsid w:val="00F45A8E"/>
    <w:rsid w:val="00F4623F"/>
    <w:rsid w:val="00F46E4E"/>
    <w:rsid w:val="00F46F47"/>
    <w:rsid w:val="00F47CDD"/>
    <w:rsid w:val="00F5082E"/>
    <w:rsid w:val="00F51722"/>
    <w:rsid w:val="00F52370"/>
    <w:rsid w:val="00F5287E"/>
    <w:rsid w:val="00F5326E"/>
    <w:rsid w:val="00F532CD"/>
    <w:rsid w:val="00F60AC1"/>
    <w:rsid w:val="00F61AEC"/>
    <w:rsid w:val="00F6350B"/>
    <w:rsid w:val="00F64239"/>
    <w:rsid w:val="00F64561"/>
    <w:rsid w:val="00F64C79"/>
    <w:rsid w:val="00F6502E"/>
    <w:rsid w:val="00F65051"/>
    <w:rsid w:val="00F66692"/>
    <w:rsid w:val="00F67FE4"/>
    <w:rsid w:val="00F7141B"/>
    <w:rsid w:val="00F71DFB"/>
    <w:rsid w:val="00F74610"/>
    <w:rsid w:val="00F74948"/>
    <w:rsid w:val="00F7528C"/>
    <w:rsid w:val="00F76399"/>
    <w:rsid w:val="00F764C2"/>
    <w:rsid w:val="00F76606"/>
    <w:rsid w:val="00F76AD0"/>
    <w:rsid w:val="00F76C4B"/>
    <w:rsid w:val="00F76DE9"/>
    <w:rsid w:val="00F770AA"/>
    <w:rsid w:val="00F8056D"/>
    <w:rsid w:val="00F8144E"/>
    <w:rsid w:val="00F81A73"/>
    <w:rsid w:val="00F81AAC"/>
    <w:rsid w:val="00F81D37"/>
    <w:rsid w:val="00F81E9D"/>
    <w:rsid w:val="00F81FD3"/>
    <w:rsid w:val="00F82F93"/>
    <w:rsid w:val="00F83C3E"/>
    <w:rsid w:val="00F85E8A"/>
    <w:rsid w:val="00F862D7"/>
    <w:rsid w:val="00F86433"/>
    <w:rsid w:val="00F86A39"/>
    <w:rsid w:val="00F872A9"/>
    <w:rsid w:val="00F87354"/>
    <w:rsid w:val="00F87BAA"/>
    <w:rsid w:val="00F92C37"/>
    <w:rsid w:val="00F93140"/>
    <w:rsid w:val="00F931DF"/>
    <w:rsid w:val="00F948AC"/>
    <w:rsid w:val="00F94D5E"/>
    <w:rsid w:val="00F95C31"/>
    <w:rsid w:val="00F96949"/>
    <w:rsid w:val="00F9743E"/>
    <w:rsid w:val="00F97E9E"/>
    <w:rsid w:val="00FA092B"/>
    <w:rsid w:val="00FA10C9"/>
    <w:rsid w:val="00FA1160"/>
    <w:rsid w:val="00FA41E4"/>
    <w:rsid w:val="00FA4989"/>
    <w:rsid w:val="00FA5E08"/>
    <w:rsid w:val="00FA5EB7"/>
    <w:rsid w:val="00FA5EE3"/>
    <w:rsid w:val="00FA5F89"/>
    <w:rsid w:val="00FA6516"/>
    <w:rsid w:val="00FA6A23"/>
    <w:rsid w:val="00FA70C9"/>
    <w:rsid w:val="00FA7BD3"/>
    <w:rsid w:val="00FA7E71"/>
    <w:rsid w:val="00FB1A50"/>
    <w:rsid w:val="00FB1FF4"/>
    <w:rsid w:val="00FB303B"/>
    <w:rsid w:val="00FB5E9B"/>
    <w:rsid w:val="00FB6800"/>
    <w:rsid w:val="00FB687B"/>
    <w:rsid w:val="00FB72F3"/>
    <w:rsid w:val="00FC001C"/>
    <w:rsid w:val="00FC11DB"/>
    <w:rsid w:val="00FC20EC"/>
    <w:rsid w:val="00FC2389"/>
    <w:rsid w:val="00FC2E0D"/>
    <w:rsid w:val="00FC31AD"/>
    <w:rsid w:val="00FC31EC"/>
    <w:rsid w:val="00FC372A"/>
    <w:rsid w:val="00FC3A33"/>
    <w:rsid w:val="00FC5CF3"/>
    <w:rsid w:val="00FC5DAF"/>
    <w:rsid w:val="00FC6D14"/>
    <w:rsid w:val="00FD0645"/>
    <w:rsid w:val="00FD4357"/>
    <w:rsid w:val="00FD4A9F"/>
    <w:rsid w:val="00FD50B8"/>
    <w:rsid w:val="00FD601A"/>
    <w:rsid w:val="00FD6409"/>
    <w:rsid w:val="00FD757F"/>
    <w:rsid w:val="00FE0ABA"/>
    <w:rsid w:val="00FE0C44"/>
    <w:rsid w:val="00FE1035"/>
    <w:rsid w:val="00FE1EE0"/>
    <w:rsid w:val="00FE277C"/>
    <w:rsid w:val="00FE4040"/>
    <w:rsid w:val="00FE53BF"/>
    <w:rsid w:val="00FE63B6"/>
    <w:rsid w:val="00FE6C7C"/>
    <w:rsid w:val="00FF1514"/>
    <w:rsid w:val="00FF36C4"/>
    <w:rsid w:val="00FF3865"/>
    <w:rsid w:val="00FF47E4"/>
    <w:rsid w:val="00FF7547"/>
    <w:rsid w:val="7827B1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85901"/>
  <w15:docId w15:val="{2C786153-34DD-48F3-B239-C56916B5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B21"/>
    <w:pPr>
      <w:spacing w:after="0" w:line="240" w:lineRule="auto"/>
      <w:jc w:val="both"/>
    </w:pPr>
    <w:rPr>
      <w:rFonts w:ascii="Times New Roman" w:eastAsia="Times New Roman" w:hAnsi="Times New Roman" w:cs="Times New Roman"/>
      <w:sz w:val="24"/>
      <w:szCs w:val="20"/>
      <w:lang w:val="en-GB"/>
    </w:rPr>
  </w:style>
  <w:style w:type="paragraph" w:styleId="Heading1">
    <w:name w:val="heading 1"/>
    <w:basedOn w:val="Normal"/>
    <w:next w:val="Normal"/>
    <w:link w:val="Heading1Char"/>
    <w:uiPriority w:val="9"/>
    <w:qFormat/>
    <w:rsid w:val="000B2B10"/>
    <w:pPr>
      <w:keepNext/>
      <w:keepLines/>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0B2B10"/>
    <w:pPr>
      <w:keepNext/>
      <w:keepLines/>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A02B21"/>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EE7F2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B10"/>
    <w:rPr>
      <w:rFonts w:ascii="Arial" w:eastAsiaTheme="majorEastAsia" w:hAnsi="Arial" w:cstheme="majorBidi"/>
      <w:b/>
      <w:sz w:val="20"/>
      <w:szCs w:val="32"/>
    </w:rPr>
  </w:style>
  <w:style w:type="character" w:customStyle="1" w:styleId="Heading2Char">
    <w:name w:val="Heading 2 Char"/>
    <w:basedOn w:val="DefaultParagraphFont"/>
    <w:link w:val="Heading2"/>
    <w:uiPriority w:val="9"/>
    <w:semiHidden/>
    <w:rsid w:val="000B2B10"/>
    <w:rPr>
      <w:rFonts w:ascii="Arial" w:eastAsiaTheme="majorEastAsia" w:hAnsi="Arial" w:cstheme="majorBidi"/>
      <w:sz w:val="20"/>
      <w:szCs w:val="26"/>
    </w:rPr>
  </w:style>
  <w:style w:type="paragraph" w:styleId="ListParagraph">
    <w:name w:val="List Paragraph"/>
    <w:basedOn w:val="Normal"/>
    <w:link w:val="ListParagraphChar"/>
    <w:uiPriority w:val="34"/>
    <w:qFormat/>
    <w:rsid w:val="00D4690E"/>
    <w:pPr>
      <w:ind w:left="720"/>
      <w:contextualSpacing/>
    </w:pPr>
  </w:style>
  <w:style w:type="paragraph" w:customStyle="1" w:styleId="DEBullet">
    <w:name w:val="DE Bullet"/>
    <w:basedOn w:val="ListParagraph"/>
    <w:link w:val="DEBulletChar"/>
    <w:qFormat/>
    <w:rsid w:val="00D4690E"/>
    <w:pPr>
      <w:numPr>
        <w:numId w:val="1"/>
      </w:numPr>
    </w:pPr>
  </w:style>
  <w:style w:type="character" w:customStyle="1" w:styleId="ListParagraphChar">
    <w:name w:val="List Paragraph Char"/>
    <w:basedOn w:val="DefaultParagraphFont"/>
    <w:link w:val="ListParagraph"/>
    <w:uiPriority w:val="34"/>
    <w:rsid w:val="00D4690E"/>
    <w:rPr>
      <w:rFonts w:ascii="Arial" w:hAnsi="Arial"/>
      <w:sz w:val="20"/>
    </w:rPr>
  </w:style>
  <w:style w:type="character" w:customStyle="1" w:styleId="DEBulletChar">
    <w:name w:val="DE Bullet Char"/>
    <w:basedOn w:val="ListParagraphChar"/>
    <w:link w:val="DEBullet"/>
    <w:rsid w:val="00D4690E"/>
    <w:rPr>
      <w:rFonts w:ascii="Times New Roman" w:eastAsia="Times New Roman" w:hAnsi="Times New Roman" w:cs="Times New Roman"/>
      <w:sz w:val="24"/>
      <w:szCs w:val="20"/>
      <w:lang w:val="en-GB"/>
    </w:rPr>
  </w:style>
  <w:style w:type="paragraph" w:customStyle="1" w:styleId="LA-Level1Paragraph">
    <w:name w:val="LA - Level 1 Paragraph"/>
    <w:basedOn w:val="Normal"/>
    <w:next w:val="Normal"/>
    <w:autoRedefine/>
    <w:rsid w:val="00A02B21"/>
    <w:pPr>
      <w:keepNext/>
      <w:numPr>
        <w:numId w:val="2"/>
      </w:numPr>
      <w:tabs>
        <w:tab w:val="num" w:pos="360"/>
      </w:tabs>
      <w:ind w:left="0" w:firstLine="0"/>
      <w:jc w:val="center"/>
      <w:outlineLvl w:val="0"/>
    </w:pPr>
    <w:rPr>
      <w:b/>
      <w:caps/>
      <w:lang w:val="en-IE"/>
    </w:rPr>
  </w:style>
  <w:style w:type="paragraph" w:customStyle="1" w:styleId="LA-Level2Paragraph">
    <w:name w:val="LA - Level 2 Paragraph"/>
    <w:basedOn w:val="Normal"/>
    <w:next w:val="BodyTextFirstIndent"/>
    <w:autoRedefine/>
    <w:rsid w:val="00A02B21"/>
    <w:pPr>
      <w:keepNext/>
      <w:numPr>
        <w:ilvl w:val="1"/>
        <w:numId w:val="2"/>
      </w:numPr>
      <w:outlineLvl w:val="1"/>
    </w:pPr>
    <w:rPr>
      <w:b/>
      <w:lang w:val="en-IE"/>
    </w:rPr>
  </w:style>
  <w:style w:type="paragraph" w:styleId="BodyText">
    <w:name w:val="Body Text"/>
    <w:aliases w:val="b,bt,BODY TEXT,BT,body text,Body text"/>
    <w:basedOn w:val="Normal"/>
    <w:link w:val="BodyTextChar"/>
    <w:rsid w:val="00A02B21"/>
    <w:pPr>
      <w:spacing w:after="120"/>
    </w:pPr>
  </w:style>
  <w:style w:type="character" w:customStyle="1" w:styleId="BodyTextChar">
    <w:name w:val="Body Text Char"/>
    <w:aliases w:val="b Char,bt Char,BODY TEXT Char,BT Char,body text Char,Body text Char"/>
    <w:basedOn w:val="DefaultParagraphFont"/>
    <w:link w:val="BodyText"/>
    <w:rsid w:val="00A02B21"/>
    <w:rPr>
      <w:rFonts w:ascii="Times New Roman" w:eastAsia="Times New Roman" w:hAnsi="Times New Roman" w:cs="Times New Roman"/>
      <w:sz w:val="24"/>
      <w:szCs w:val="20"/>
      <w:lang w:val="en-GB"/>
    </w:rPr>
  </w:style>
  <w:style w:type="paragraph" w:customStyle="1" w:styleId="LA-Level3Paragraph">
    <w:name w:val="LA - Level 3 Paragraph"/>
    <w:basedOn w:val="Normal"/>
    <w:next w:val="Normal"/>
    <w:autoRedefine/>
    <w:rsid w:val="00A02B21"/>
    <w:pPr>
      <w:numPr>
        <w:ilvl w:val="2"/>
        <w:numId w:val="2"/>
      </w:numPr>
      <w:tabs>
        <w:tab w:val="clear" w:pos="1134"/>
      </w:tabs>
      <w:outlineLvl w:val="2"/>
    </w:pPr>
    <w:rPr>
      <w:lang w:val="en-IE"/>
    </w:rPr>
  </w:style>
  <w:style w:type="paragraph" w:customStyle="1" w:styleId="LA-Level4Paragraph">
    <w:name w:val="LA - Level 4 Paragraph"/>
    <w:basedOn w:val="Normal"/>
    <w:next w:val="Normal"/>
    <w:autoRedefine/>
    <w:rsid w:val="00A02B21"/>
    <w:pPr>
      <w:numPr>
        <w:ilvl w:val="3"/>
        <w:numId w:val="2"/>
      </w:numPr>
      <w:tabs>
        <w:tab w:val="clear" w:pos="1854"/>
      </w:tabs>
      <w:outlineLvl w:val="3"/>
    </w:pPr>
  </w:style>
  <w:style w:type="paragraph" w:customStyle="1" w:styleId="LA-Level5Paragraph">
    <w:name w:val="LA - Level 5 Paragraph"/>
    <w:basedOn w:val="Normal"/>
    <w:next w:val="Normal"/>
    <w:autoRedefine/>
    <w:rsid w:val="00A02B21"/>
    <w:pPr>
      <w:numPr>
        <w:ilvl w:val="4"/>
        <w:numId w:val="2"/>
      </w:numPr>
      <w:tabs>
        <w:tab w:val="clear" w:pos="2268"/>
      </w:tabs>
      <w:outlineLvl w:val="4"/>
    </w:pPr>
    <w:rPr>
      <w:lang w:val="en-IE"/>
    </w:rPr>
  </w:style>
  <w:style w:type="paragraph" w:customStyle="1" w:styleId="LA-Level6Paragraph">
    <w:name w:val="LA - Level 6 Paragraph"/>
    <w:basedOn w:val="Normal"/>
    <w:next w:val="Normal"/>
    <w:rsid w:val="00A02B21"/>
    <w:pPr>
      <w:numPr>
        <w:ilvl w:val="5"/>
        <w:numId w:val="2"/>
      </w:numPr>
      <w:tabs>
        <w:tab w:val="clear" w:pos="2835"/>
      </w:tabs>
      <w:outlineLvl w:val="5"/>
    </w:pPr>
  </w:style>
  <w:style w:type="paragraph" w:customStyle="1" w:styleId="LA-Level8Paragraph">
    <w:name w:val="LA - Level 8 Paragraph"/>
    <w:basedOn w:val="Normal"/>
    <w:next w:val="Normal"/>
    <w:rsid w:val="00A02B21"/>
    <w:pPr>
      <w:numPr>
        <w:ilvl w:val="7"/>
        <w:numId w:val="2"/>
      </w:numPr>
      <w:tabs>
        <w:tab w:val="clear" w:pos="3969"/>
      </w:tabs>
      <w:outlineLvl w:val="7"/>
    </w:pPr>
  </w:style>
  <w:style w:type="paragraph" w:customStyle="1" w:styleId="LA-Level9Paragraph">
    <w:name w:val="LA - Level 9 Paragraph"/>
    <w:basedOn w:val="Normal"/>
    <w:next w:val="Normal"/>
    <w:rsid w:val="00A02B21"/>
    <w:pPr>
      <w:numPr>
        <w:ilvl w:val="8"/>
        <w:numId w:val="2"/>
      </w:numPr>
      <w:tabs>
        <w:tab w:val="clear" w:pos="4536"/>
      </w:tabs>
      <w:outlineLvl w:val="8"/>
    </w:pPr>
  </w:style>
  <w:style w:type="paragraph" w:styleId="Subtitle">
    <w:name w:val="Subtitle"/>
    <w:aliases w:val="Table - Supplement"/>
    <w:basedOn w:val="Normal"/>
    <w:link w:val="SubtitleChar"/>
    <w:uiPriority w:val="11"/>
    <w:qFormat/>
    <w:rsid w:val="00A02B21"/>
    <w:pPr>
      <w:jc w:val="center"/>
    </w:pPr>
    <w:rPr>
      <w:b/>
      <w:sz w:val="20"/>
      <w:u w:val="single"/>
      <w:lang w:val="en-IE"/>
    </w:rPr>
  </w:style>
  <w:style w:type="character" w:customStyle="1" w:styleId="SubtitleChar">
    <w:name w:val="Subtitle Char"/>
    <w:aliases w:val="Table - Supplement Char"/>
    <w:basedOn w:val="DefaultParagraphFont"/>
    <w:link w:val="Subtitle"/>
    <w:uiPriority w:val="11"/>
    <w:rsid w:val="00A02B21"/>
    <w:rPr>
      <w:rFonts w:ascii="Times New Roman" w:eastAsia="Times New Roman" w:hAnsi="Times New Roman" w:cs="Times New Roman"/>
      <w:b/>
      <w:sz w:val="20"/>
      <w:szCs w:val="20"/>
      <w:u w:val="single"/>
    </w:rPr>
  </w:style>
  <w:style w:type="paragraph" w:customStyle="1" w:styleId="default">
    <w:name w:val="default"/>
    <w:basedOn w:val="Normal"/>
    <w:uiPriority w:val="99"/>
    <w:rsid w:val="00A02B21"/>
    <w:pPr>
      <w:autoSpaceDE w:val="0"/>
      <w:autoSpaceDN w:val="0"/>
      <w:jc w:val="left"/>
    </w:pPr>
    <w:rPr>
      <w:color w:val="000000"/>
      <w:szCs w:val="24"/>
      <w:lang w:eastAsia="en-GB"/>
    </w:rPr>
  </w:style>
  <w:style w:type="table" w:styleId="TableGrid">
    <w:name w:val="Table Grid"/>
    <w:basedOn w:val="TableNormal"/>
    <w:uiPriority w:val="39"/>
    <w:rsid w:val="00A02B2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ong-Suppl">
    <w:name w:val="Strong - Suppl"/>
    <w:basedOn w:val="Heading3"/>
    <w:link w:val="Strong-SupplChar"/>
    <w:qFormat/>
    <w:rsid w:val="00A02B21"/>
    <w:pPr>
      <w:keepNext w:val="0"/>
      <w:keepLines w:val="0"/>
      <w:autoSpaceDE w:val="0"/>
      <w:autoSpaceDN w:val="0"/>
      <w:adjustRightInd w:val="0"/>
      <w:spacing w:before="360" w:after="240" w:line="312" w:lineRule="auto"/>
    </w:pPr>
    <w:rPr>
      <w:rFonts w:ascii="Arial" w:eastAsia="Batang" w:hAnsi="Arial" w:cs="Times New Roman"/>
      <w:iCs/>
      <w:color w:val="auto"/>
      <w:sz w:val="20"/>
      <w:lang w:eastAsia="ko-KR"/>
    </w:rPr>
  </w:style>
  <w:style w:type="character" w:customStyle="1" w:styleId="Strong-SupplChar">
    <w:name w:val="Strong - Suppl Char"/>
    <w:link w:val="Strong-Suppl"/>
    <w:rsid w:val="00A02B21"/>
    <w:rPr>
      <w:rFonts w:ascii="Arial" w:eastAsia="Batang" w:hAnsi="Arial" w:cs="Times New Roman"/>
      <w:b/>
      <w:bCs/>
      <w:iCs/>
      <w:sz w:val="20"/>
      <w:szCs w:val="20"/>
      <w:lang w:val="en-GB" w:eastAsia="ko-KR"/>
    </w:rPr>
  </w:style>
  <w:style w:type="paragraph" w:styleId="BodyTextFirstIndent">
    <w:name w:val="Body Text First Indent"/>
    <w:basedOn w:val="BodyText"/>
    <w:link w:val="BodyTextFirstIndentChar"/>
    <w:uiPriority w:val="99"/>
    <w:semiHidden/>
    <w:unhideWhenUsed/>
    <w:rsid w:val="00A02B21"/>
    <w:pPr>
      <w:spacing w:after="0"/>
      <w:ind w:firstLine="360"/>
    </w:pPr>
  </w:style>
  <w:style w:type="character" w:customStyle="1" w:styleId="BodyTextFirstIndentChar">
    <w:name w:val="Body Text First Indent Char"/>
    <w:basedOn w:val="BodyTextChar"/>
    <w:link w:val="BodyTextFirstIndent"/>
    <w:uiPriority w:val="99"/>
    <w:semiHidden/>
    <w:rsid w:val="00A02B21"/>
    <w:rPr>
      <w:rFonts w:ascii="Times New Roman" w:eastAsia="Times New Roman" w:hAnsi="Times New Roman" w:cs="Times New Roman"/>
      <w:sz w:val="24"/>
      <w:szCs w:val="20"/>
      <w:lang w:val="en-GB"/>
    </w:rPr>
  </w:style>
  <w:style w:type="character" w:customStyle="1" w:styleId="Heading3Char">
    <w:name w:val="Heading 3 Char"/>
    <w:basedOn w:val="DefaultParagraphFont"/>
    <w:link w:val="Heading3"/>
    <w:uiPriority w:val="9"/>
    <w:semiHidden/>
    <w:rsid w:val="00A02B21"/>
    <w:rPr>
      <w:rFonts w:asciiTheme="majorHAnsi" w:eastAsiaTheme="majorEastAsia" w:hAnsiTheme="majorHAnsi" w:cstheme="majorBidi"/>
      <w:b/>
      <w:bCs/>
      <w:color w:val="5B9BD5" w:themeColor="accent1"/>
      <w:sz w:val="24"/>
      <w:szCs w:val="20"/>
      <w:lang w:val="en-GB"/>
    </w:rPr>
  </w:style>
  <w:style w:type="character" w:styleId="CommentReference">
    <w:name w:val="annotation reference"/>
    <w:basedOn w:val="DefaultParagraphFont"/>
    <w:uiPriority w:val="99"/>
    <w:semiHidden/>
    <w:unhideWhenUsed/>
    <w:rsid w:val="00CB0019"/>
    <w:rPr>
      <w:sz w:val="16"/>
      <w:szCs w:val="16"/>
    </w:rPr>
  </w:style>
  <w:style w:type="paragraph" w:styleId="CommentText">
    <w:name w:val="annotation text"/>
    <w:basedOn w:val="Normal"/>
    <w:link w:val="CommentTextChar"/>
    <w:uiPriority w:val="99"/>
    <w:unhideWhenUsed/>
    <w:rsid w:val="00CB0019"/>
    <w:rPr>
      <w:sz w:val="20"/>
    </w:rPr>
  </w:style>
  <w:style w:type="character" w:customStyle="1" w:styleId="CommentTextChar">
    <w:name w:val="Comment Text Char"/>
    <w:basedOn w:val="DefaultParagraphFont"/>
    <w:link w:val="CommentText"/>
    <w:uiPriority w:val="99"/>
    <w:rsid w:val="00CB001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B0019"/>
    <w:rPr>
      <w:b/>
      <w:bCs/>
    </w:rPr>
  </w:style>
  <w:style w:type="character" w:customStyle="1" w:styleId="CommentSubjectChar">
    <w:name w:val="Comment Subject Char"/>
    <w:basedOn w:val="CommentTextChar"/>
    <w:link w:val="CommentSubject"/>
    <w:uiPriority w:val="99"/>
    <w:semiHidden/>
    <w:rsid w:val="00CB0019"/>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B0019"/>
    <w:rPr>
      <w:rFonts w:ascii="Tahoma" w:hAnsi="Tahoma" w:cs="Tahoma"/>
      <w:sz w:val="16"/>
      <w:szCs w:val="16"/>
    </w:rPr>
  </w:style>
  <w:style w:type="character" w:customStyle="1" w:styleId="BalloonTextChar">
    <w:name w:val="Balloon Text Char"/>
    <w:basedOn w:val="DefaultParagraphFont"/>
    <w:link w:val="BalloonText"/>
    <w:uiPriority w:val="99"/>
    <w:semiHidden/>
    <w:rsid w:val="00CB0019"/>
    <w:rPr>
      <w:rFonts w:ascii="Tahoma" w:eastAsia="Times New Roman" w:hAnsi="Tahoma" w:cs="Tahoma"/>
      <w:sz w:val="16"/>
      <w:szCs w:val="16"/>
      <w:lang w:val="en-GB"/>
    </w:rPr>
  </w:style>
  <w:style w:type="paragraph" w:styleId="FootnoteText">
    <w:name w:val="footnote text"/>
    <w:basedOn w:val="Normal"/>
    <w:link w:val="FootnoteTextChar"/>
    <w:uiPriority w:val="99"/>
    <w:semiHidden/>
    <w:unhideWhenUsed/>
    <w:rsid w:val="00CB0019"/>
    <w:rPr>
      <w:sz w:val="20"/>
    </w:rPr>
  </w:style>
  <w:style w:type="character" w:customStyle="1" w:styleId="FootnoteTextChar">
    <w:name w:val="Footnote Text Char"/>
    <w:basedOn w:val="DefaultParagraphFont"/>
    <w:link w:val="FootnoteText"/>
    <w:uiPriority w:val="99"/>
    <w:semiHidden/>
    <w:rsid w:val="00CB0019"/>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CB0019"/>
    <w:rPr>
      <w:vertAlign w:val="superscript"/>
    </w:rPr>
  </w:style>
  <w:style w:type="paragraph" w:customStyle="1" w:styleId="ssPara1">
    <w:name w:val="ssPara1"/>
    <w:basedOn w:val="Normal"/>
    <w:uiPriority w:val="99"/>
    <w:rsid w:val="00FA7E71"/>
    <w:pPr>
      <w:autoSpaceDE w:val="0"/>
      <w:autoSpaceDN w:val="0"/>
      <w:adjustRightInd w:val="0"/>
      <w:spacing w:after="260" w:line="260" w:lineRule="atLeast"/>
    </w:pPr>
    <w:rPr>
      <w:rFonts w:ascii="Arial" w:hAnsi="Arial"/>
      <w:sz w:val="22"/>
      <w:lang w:eastAsia="en-IE"/>
    </w:rPr>
  </w:style>
  <w:style w:type="paragraph" w:styleId="Header">
    <w:name w:val="header"/>
    <w:aliases w:val="1 (not to be included in TOC)"/>
    <w:basedOn w:val="Normal"/>
    <w:link w:val="HeaderChar"/>
    <w:rsid w:val="00B803F9"/>
    <w:pPr>
      <w:spacing w:line="290" w:lineRule="atLeast"/>
    </w:pPr>
  </w:style>
  <w:style w:type="character" w:customStyle="1" w:styleId="HeaderChar">
    <w:name w:val="Header Char"/>
    <w:aliases w:val="1 (not to be included in TOC) Char"/>
    <w:basedOn w:val="DefaultParagraphFont"/>
    <w:link w:val="Header"/>
    <w:rsid w:val="00B803F9"/>
    <w:rPr>
      <w:rFonts w:ascii="Times New Roman" w:eastAsia="Times New Roman" w:hAnsi="Times New Roman" w:cs="Times New Roman"/>
      <w:sz w:val="24"/>
      <w:szCs w:val="20"/>
      <w:lang w:val="en-GB"/>
    </w:rPr>
  </w:style>
  <w:style w:type="paragraph" w:styleId="NormalWeb">
    <w:name w:val="Normal (Web)"/>
    <w:basedOn w:val="Normal"/>
    <w:uiPriority w:val="99"/>
    <w:semiHidden/>
    <w:unhideWhenUsed/>
    <w:rsid w:val="006C64C0"/>
    <w:pPr>
      <w:spacing w:before="100" w:beforeAutospacing="1" w:after="100" w:afterAutospacing="1"/>
      <w:jc w:val="left"/>
    </w:pPr>
    <w:rPr>
      <w:szCs w:val="24"/>
      <w:lang w:val="en-ZA" w:eastAsia="en-ZA"/>
    </w:rPr>
  </w:style>
  <w:style w:type="character" w:styleId="Hyperlink">
    <w:name w:val="Hyperlink"/>
    <w:basedOn w:val="DefaultParagraphFont"/>
    <w:uiPriority w:val="99"/>
    <w:unhideWhenUsed/>
    <w:rsid w:val="006C64C0"/>
    <w:rPr>
      <w:color w:val="0000FF"/>
      <w:u w:val="single"/>
    </w:rPr>
  </w:style>
  <w:style w:type="paragraph" w:styleId="Footer">
    <w:name w:val="footer"/>
    <w:basedOn w:val="Normal"/>
    <w:link w:val="FooterChar"/>
    <w:uiPriority w:val="99"/>
    <w:unhideWhenUsed/>
    <w:rsid w:val="00EB4E0D"/>
    <w:pPr>
      <w:tabs>
        <w:tab w:val="center" w:pos="4513"/>
        <w:tab w:val="right" w:pos="9026"/>
      </w:tabs>
    </w:pPr>
  </w:style>
  <w:style w:type="character" w:customStyle="1" w:styleId="FooterChar">
    <w:name w:val="Footer Char"/>
    <w:basedOn w:val="DefaultParagraphFont"/>
    <w:link w:val="Footer"/>
    <w:uiPriority w:val="99"/>
    <w:rsid w:val="00EB4E0D"/>
    <w:rPr>
      <w:rFonts w:ascii="Times New Roman" w:eastAsia="Times New Roman" w:hAnsi="Times New Roman" w:cs="Times New Roman"/>
      <w:sz w:val="24"/>
      <w:szCs w:val="20"/>
      <w:lang w:val="en-GB"/>
    </w:rPr>
  </w:style>
  <w:style w:type="paragraph" w:customStyle="1" w:styleId="TableParagraph">
    <w:name w:val="Table Paragraph"/>
    <w:basedOn w:val="Normal"/>
    <w:uiPriority w:val="1"/>
    <w:qFormat/>
    <w:rsid w:val="00C8421C"/>
    <w:pPr>
      <w:widowControl w:val="0"/>
      <w:autoSpaceDE w:val="0"/>
      <w:autoSpaceDN w:val="0"/>
      <w:spacing w:before="47"/>
      <w:ind w:left="117"/>
      <w:jc w:val="left"/>
    </w:pPr>
    <w:rPr>
      <w:rFonts w:ascii="Arial" w:eastAsia="Arial" w:hAnsi="Arial" w:cs="Arial"/>
      <w:sz w:val="22"/>
      <w:szCs w:val="22"/>
      <w:lang w:val="en-US"/>
    </w:rPr>
  </w:style>
  <w:style w:type="paragraph" w:styleId="Revision">
    <w:name w:val="Revision"/>
    <w:hidden/>
    <w:uiPriority w:val="99"/>
    <w:semiHidden/>
    <w:rsid w:val="00967C9C"/>
    <w:pPr>
      <w:spacing w:after="0" w:line="240" w:lineRule="auto"/>
    </w:pPr>
    <w:rPr>
      <w:rFonts w:ascii="Times New Roman" w:eastAsia="Times New Roman" w:hAnsi="Times New Roman" w:cs="Times New Roman"/>
      <w:sz w:val="24"/>
      <w:szCs w:val="20"/>
      <w:lang w:val="en-GB"/>
    </w:rPr>
  </w:style>
  <w:style w:type="paragraph" w:styleId="NoSpacing">
    <w:name w:val="No Spacing"/>
    <w:uiPriority w:val="1"/>
    <w:qFormat/>
    <w:rsid w:val="00EF32DC"/>
    <w:pPr>
      <w:spacing w:after="0" w:line="240" w:lineRule="auto"/>
      <w:jc w:val="both"/>
    </w:pPr>
    <w:rPr>
      <w:rFonts w:ascii="Times New Roman" w:eastAsia="Times New Roman" w:hAnsi="Times New Roman" w:cs="Times New Roman"/>
      <w:sz w:val="24"/>
      <w:szCs w:val="20"/>
      <w:lang w:val="en-GB"/>
    </w:rPr>
  </w:style>
  <w:style w:type="character" w:styleId="Emphasis">
    <w:name w:val="Emphasis"/>
    <w:basedOn w:val="DefaultParagraphFont"/>
    <w:uiPriority w:val="20"/>
    <w:qFormat/>
    <w:rsid w:val="00E87DB8"/>
    <w:rPr>
      <w:b/>
      <w:bCs/>
      <w:i w:val="0"/>
      <w:iCs w:val="0"/>
    </w:rPr>
  </w:style>
  <w:style w:type="character" w:customStyle="1" w:styleId="st1">
    <w:name w:val="st1"/>
    <w:basedOn w:val="DefaultParagraphFont"/>
    <w:rsid w:val="00E87DB8"/>
  </w:style>
  <w:style w:type="character" w:customStyle="1" w:styleId="ilfuvd">
    <w:name w:val="ilfuvd"/>
    <w:basedOn w:val="DefaultParagraphFont"/>
    <w:rsid w:val="00E87DB8"/>
  </w:style>
  <w:style w:type="character" w:customStyle="1" w:styleId="UnresolvedMention1">
    <w:name w:val="Unresolved Mention1"/>
    <w:basedOn w:val="DefaultParagraphFont"/>
    <w:uiPriority w:val="99"/>
    <w:unhideWhenUsed/>
    <w:rsid w:val="00080E1A"/>
    <w:rPr>
      <w:color w:val="605E5C"/>
      <w:shd w:val="clear" w:color="auto" w:fill="E1DFDD"/>
    </w:rPr>
  </w:style>
  <w:style w:type="character" w:customStyle="1" w:styleId="Mention1">
    <w:name w:val="Mention1"/>
    <w:basedOn w:val="DefaultParagraphFont"/>
    <w:uiPriority w:val="99"/>
    <w:unhideWhenUsed/>
    <w:rsid w:val="00080E1A"/>
    <w:rPr>
      <w:color w:val="2B579A"/>
      <w:shd w:val="clear" w:color="auto" w:fill="E1DFDD"/>
    </w:rPr>
  </w:style>
  <w:style w:type="paragraph" w:customStyle="1" w:styleId="SA-Level1Paragraph">
    <w:name w:val="SA - Level 1 Paragraph"/>
    <w:basedOn w:val="Normal"/>
    <w:next w:val="BodyTextFirstIndent"/>
    <w:rsid w:val="00DA7392"/>
    <w:pPr>
      <w:keepNext/>
      <w:numPr>
        <w:numId w:val="3"/>
      </w:numPr>
      <w:outlineLvl w:val="0"/>
    </w:pPr>
    <w:rPr>
      <w:b/>
      <w:lang w:val="en-IE"/>
    </w:rPr>
  </w:style>
  <w:style w:type="paragraph" w:customStyle="1" w:styleId="SA-Level2Paragraph">
    <w:name w:val="SA - Level 2 Paragraph"/>
    <w:basedOn w:val="Normal"/>
    <w:next w:val="Normal"/>
    <w:rsid w:val="00DA7392"/>
    <w:pPr>
      <w:numPr>
        <w:ilvl w:val="1"/>
        <w:numId w:val="3"/>
      </w:numPr>
      <w:outlineLvl w:val="1"/>
    </w:pPr>
  </w:style>
  <w:style w:type="paragraph" w:customStyle="1" w:styleId="SA-Level3Paragraph">
    <w:name w:val="SA - Level 3 Paragraph"/>
    <w:basedOn w:val="Normal"/>
    <w:next w:val="Normal"/>
    <w:rsid w:val="00DA7392"/>
    <w:pPr>
      <w:numPr>
        <w:ilvl w:val="2"/>
        <w:numId w:val="3"/>
      </w:numPr>
      <w:tabs>
        <w:tab w:val="clear" w:pos="1854"/>
      </w:tabs>
      <w:outlineLvl w:val="2"/>
    </w:pPr>
  </w:style>
  <w:style w:type="paragraph" w:customStyle="1" w:styleId="SA-Level4Paragraph">
    <w:name w:val="SA - Level 4 Paragraph"/>
    <w:basedOn w:val="Normal"/>
    <w:next w:val="Normal"/>
    <w:rsid w:val="00DA7392"/>
    <w:pPr>
      <w:numPr>
        <w:ilvl w:val="3"/>
        <w:numId w:val="3"/>
      </w:numPr>
      <w:tabs>
        <w:tab w:val="clear" w:pos="2268"/>
      </w:tabs>
      <w:outlineLvl w:val="3"/>
    </w:pPr>
  </w:style>
  <w:style w:type="paragraph" w:customStyle="1" w:styleId="SA-Level5Paragraph">
    <w:name w:val="SA - Level 5 Paragraph"/>
    <w:basedOn w:val="Normal"/>
    <w:next w:val="Normal"/>
    <w:rsid w:val="00DA7392"/>
    <w:pPr>
      <w:numPr>
        <w:ilvl w:val="4"/>
        <w:numId w:val="3"/>
      </w:numPr>
      <w:tabs>
        <w:tab w:val="clear" w:pos="2835"/>
      </w:tabs>
      <w:outlineLvl w:val="4"/>
    </w:pPr>
  </w:style>
  <w:style w:type="paragraph" w:customStyle="1" w:styleId="SA-Level6Paragraph">
    <w:name w:val="SA - Level 6 Paragraph"/>
    <w:basedOn w:val="Normal"/>
    <w:next w:val="Normal"/>
    <w:rsid w:val="00DA7392"/>
    <w:pPr>
      <w:numPr>
        <w:ilvl w:val="5"/>
        <w:numId w:val="3"/>
      </w:numPr>
      <w:tabs>
        <w:tab w:val="clear" w:pos="3402"/>
      </w:tabs>
      <w:outlineLvl w:val="5"/>
    </w:pPr>
  </w:style>
  <w:style w:type="paragraph" w:customStyle="1" w:styleId="SA-Level7Paragraph">
    <w:name w:val="SA - Level 7 Paragraph"/>
    <w:basedOn w:val="Normal"/>
    <w:next w:val="Normal"/>
    <w:rsid w:val="00DA7392"/>
    <w:pPr>
      <w:numPr>
        <w:ilvl w:val="6"/>
        <w:numId w:val="3"/>
      </w:numPr>
      <w:tabs>
        <w:tab w:val="clear" w:pos="3969"/>
      </w:tabs>
      <w:outlineLvl w:val="6"/>
    </w:pPr>
  </w:style>
  <w:style w:type="paragraph" w:customStyle="1" w:styleId="SA-Level8Paragraph">
    <w:name w:val="SA - Level 8 Paragraph"/>
    <w:basedOn w:val="Normal"/>
    <w:next w:val="Normal"/>
    <w:rsid w:val="00DA7392"/>
    <w:pPr>
      <w:numPr>
        <w:ilvl w:val="7"/>
        <w:numId w:val="3"/>
      </w:numPr>
      <w:tabs>
        <w:tab w:val="clear" w:pos="4536"/>
      </w:tabs>
      <w:outlineLvl w:val="7"/>
    </w:pPr>
  </w:style>
  <w:style w:type="character" w:customStyle="1" w:styleId="Heading4Char">
    <w:name w:val="Heading 4 Char"/>
    <w:basedOn w:val="DefaultParagraphFont"/>
    <w:link w:val="Heading4"/>
    <w:uiPriority w:val="9"/>
    <w:semiHidden/>
    <w:rsid w:val="00EE7F27"/>
    <w:rPr>
      <w:rFonts w:asciiTheme="majorHAnsi" w:eastAsiaTheme="majorEastAsia" w:hAnsiTheme="majorHAnsi" w:cstheme="majorBidi"/>
      <w:i/>
      <w:iCs/>
      <w:color w:val="2E74B5" w:themeColor="accent1" w:themeShade="BF"/>
      <w:sz w:val="24"/>
      <w:szCs w:val="20"/>
      <w:lang w:val="en-GB"/>
    </w:rPr>
  </w:style>
  <w:style w:type="character" w:customStyle="1" w:styleId="DeltaViewInsertion">
    <w:name w:val="DeltaView Insertion"/>
    <w:uiPriority w:val="99"/>
    <w:rsid w:val="00EE7F27"/>
    <w:rPr>
      <w:color w:val="0000FF"/>
      <w:spacing w:val="0"/>
      <w:u w:val="double"/>
    </w:rPr>
  </w:style>
  <w:style w:type="paragraph" w:styleId="PlainText">
    <w:name w:val="Plain Text"/>
    <w:basedOn w:val="Normal"/>
    <w:link w:val="PlainTextChar"/>
    <w:uiPriority w:val="99"/>
    <w:unhideWhenUsed/>
    <w:rsid w:val="00F13B1B"/>
    <w:pPr>
      <w:jc w:val="left"/>
    </w:pPr>
    <w:rPr>
      <w:rFonts w:ascii="Calibri" w:hAnsi="Calibri"/>
      <w:sz w:val="22"/>
      <w:szCs w:val="21"/>
      <w:lang w:val="en-IE"/>
    </w:rPr>
  </w:style>
  <w:style w:type="character" w:customStyle="1" w:styleId="PlainTextChar">
    <w:name w:val="Plain Text Char"/>
    <w:basedOn w:val="DefaultParagraphFont"/>
    <w:link w:val="PlainText"/>
    <w:uiPriority w:val="99"/>
    <w:rsid w:val="00F13B1B"/>
    <w:rPr>
      <w:rFonts w:ascii="Calibri" w:eastAsia="Times New Roman" w:hAnsi="Calibri" w:cs="Times New Roman"/>
      <w:szCs w:val="21"/>
    </w:rPr>
  </w:style>
  <w:style w:type="character" w:customStyle="1" w:styleId="UnresolvedMention2">
    <w:name w:val="Unresolved Mention2"/>
    <w:basedOn w:val="DefaultParagraphFont"/>
    <w:uiPriority w:val="99"/>
    <w:unhideWhenUsed/>
    <w:rsid w:val="006562FE"/>
    <w:rPr>
      <w:color w:val="605E5C"/>
      <w:shd w:val="clear" w:color="auto" w:fill="E1DFDD"/>
    </w:rPr>
  </w:style>
  <w:style w:type="character" w:customStyle="1" w:styleId="Mention2">
    <w:name w:val="Mention2"/>
    <w:basedOn w:val="DefaultParagraphFont"/>
    <w:uiPriority w:val="99"/>
    <w:unhideWhenUsed/>
    <w:rsid w:val="006562FE"/>
    <w:rPr>
      <w:color w:val="2B579A"/>
      <w:shd w:val="clear" w:color="auto" w:fill="E1DFDD"/>
    </w:rPr>
  </w:style>
  <w:style w:type="character" w:customStyle="1" w:styleId="BasicParagraphChar">
    <w:name w:val="[Basic Paragraph] Char"/>
    <w:link w:val="BasicParagraph"/>
    <w:uiPriority w:val="99"/>
    <w:locked/>
    <w:rsid w:val="00D1573C"/>
    <w:rPr>
      <w:rFonts w:ascii="Times-Roman" w:hAnsi="Times-Roman"/>
      <w:color w:val="000000"/>
    </w:rPr>
  </w:style>
  <w:style w:type="paragraph" w:customStyle="1" w:styleId="BasicParagraph">
    <w:name w:val="[Basic Paragraph]"/>
    <w:basedOn w:val="Normal"/>
    <w:link w:val="BasicParagraphChar"/>
    <w:uiPriority w:val="99"/>
    <w:rsid w:val="00D1573C"/>
    <w:pPr>
      <w:autoSpaceDE w:val="0"/>
      <w:autoSpaceDN w:val="0"/>
      <w:spacing w:line="288" w:lineRule="auto"/>
      <w:jc w:val="left"/>
    </w:pPr>
    <w:rPr>
      <w:rFonts w:ascii="Times-Roman" w:eastAsiaTheme="minorHAnsi" w:hAnsi="Times-Roman" w:cstheme="minorBidi"/>
      <w:color w:val="000000"/>
      <w:sz w:val="22"/>
      <w:szCs w:val="22"/>
      <w:lang w:val="en-IE"/>
    </w:rPr>
  </w:style>
  <w:style w:type="paragraph" w:customStyle="1" w:styleId="DocID">
    <w:name w:val="DocID"/>
    <w:basedOn w:val="Footer"/>
    <w:next w:val="Footer"/>
    <w:link w:val="DocIDChar"/>
    <w:rsid w:val="00FF3865"/>
    <w:pPr>
      <w:tabs>
        <w:tab w:val="clear" w:pos="4513"/>
        <w:tab w:val="clear" w:pos="9026"/>
      </w:tabs>
      <w:jc w:val="left"/>
    </w:pPr>
    <w:rPr>
      <w:rFonts w:ascii="Arial" w:hAnsi="Arial" w:cs="Arial"/>
      <w:sz w:val="18"/>
      <w:lang w:val="en-IE" w:eastAsia="en-IE"/>
    </w:rPr>
  </w:style>
  <w:style w:type="character" w:customStyle="1" w:styleId="DocIDChar">
    <w:name w:val="DocID Char"/>
    <w:basedOn w:val="DefaultParagraphFont"/>
    <w:link w:val="DocID"/>
    <w:rsid w:val="00FF3865"/>
    <w:rPr>
      <w:rFonts w:ascii="Arial" w:eastAsia="Times New Roman" w:hAnsi="Arial" w:cs="Arial"/>
      <w:sz w:val="18"/>
      <w:szCs w:val="20"/>
      <w:lang w:val="en-IE" w:eastAsia="en-IE"/>
    </w:rPr>
  </w:style>
  <w:style w:type="character" w:customStyle="1" w:styleId="apple-tab-span">
    <w:name w:val="apple-tab-span"/>
    <w:basedOn w:val="DefaultParagraphFont"/>
    <w:rsid w:val="00740554"/>
  </w:style>
  <w:style w:type="character" w:styleId="PlaceholderText">
    <w:name w:val="Placeholder Text"/>
    <w:basedOn w:val="DefaultParagraphFont"/>
    <w:uiPriority w:val="99"/>
    <w:semiHidden/>
    <w:rsid w:val="001D02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1895">
      <w:bodyDiv w:val="1"/>
      <w:marLeft w:val="0"/>
      <w:marRight w:val="0"/>
      <w:marTop w:val="0"/>
      <w:marBottom w:val="0"/>
      <w:divBdr>
        <w:top w:val="none" w:sz="0" w:space="0" w:color="auto"/>
        <w:left w:val="none" w:sz="0" w:space="0" w:color="auto"/>
        <w:bottom w:val="none" w:sz="0" w:space="0" w:color="auto"/>
        <w:right w:val="none" w:sz="0" w:space="0" w:color="auto"/>
      </w:divBdr>
    </w:div>
    <w:div w:id="149291854">
      <w:bodyDiv w:val="1"/>
      <w:marLeft w:val="0"/>
      <w:marRight w:val="0"/>
      <w:marTop w:val="0"/>
      <w:marBottom w:val="0"/>
      <w:divBdr>
        <w:top w:val="none" w:sz="0" w:space="0" w:color="auto"/>
        <w:left w:val="none" w:sz="0" w:space="0" w:color="auto"/>
        <w:bottom w:val="none" w:sz="0" w:space="0" w:color="auto"/>
        <w:right w:val="none" w:sz="0" w:space="0" w:color="auto"/>
      </w:divBdr>
    </w:div>
    <w:div w:id="165369523">
      <w:bodyDiv w:val="1"/>
      <w:marLeft w:val="0"/>
      <w:marRight w:val="0"/>
      <w:marTop w:val="0"/>
      <w:marBottom w:val="0"/>
      <w:divBdr>
        <w:top w:val="none" w:sz="0" w:space="0" w:color="auto"/>
        <w:left w:val="none" w:sz="0" w:space="0" w:color="auto"/>
        <w:bottom w:val="none" w:sz="0" w:space="0" w:color="auto"/>
        <w:right w:val="none" w:sz="0" w:space="0" w:color="auto"/>
      </w:divBdr>
    </w:div>
    <w:div w:id="297996212">
      <w:bodyDiv w:val="1"/>
      <w:marLeft w:val="0"/>
      <w:marRight w:val="0"/>
      <w:marTop w:val="0"/>
      <w:marBottom w:val="0"/>
      <w:divBdr>
        <w:top w:val="none" w:sz="0" w:space="0" w:color="auto"/>
        <w:left w:val="none" w:sz="0" w:space="0" w:color="auto"/>
        <w:bottom w:val="none" w:sz="0" w:space="0" w:color="auto"/>
        <w:right w:val="none" w:sz="0" w:space="0" w:color="auto"/>
      </w:divBdr>
    </w:div>
    <w:div w:id="302007037">
      <w:bodyDiv w:val="1"/>
      <w:marLeft w:val="0"/>
      <w:marRight w:val="0"/>
      <w:marTop w:val="0"/>
      <w:marBottom w:val="0"/>
      <w:divBdr>
        <w:top w:val="none" w:sz="0" w:space="0" w:color="auto"/>
        <w:left w:val="none" w:sz="0" w:space="0" w:color="auto"/>
        <w:bottom w:val="none" w:sz="0" w:space="0" w:color="auto"/>
        <w:right w:val="none" w:sz="0" w:space="0" w:color="auto"/>
      </w:divBdr>
    </w:div>
    <w:div w:id="381902834">
      <w:bodyDiv w:val="1"/>
      <w:marLeft w:val="0"/>
      <w:marRight w:val="0"/>
      <w:marTop w:val="0"/>
      <w:marBottom w:val="0"/>
      <w:divBdr>
        <w:top w:val="none" w:sz="0" w:space="0" w:color="auto"/>
        <w:left w:val="none" w:sz="0" w:space="0" w:color="auto"/>
        <w:bottom w:val="none" w:sz="0" w:space="0" w:color="auto"/>
        <w:right w:val="none" w:sz="0" w:space="0" w:color="auto"/>
      </w:divBdr>
    </w:div>
    <w:div w:id="433936911">
      <w:bodyDiv w:val="1"/>
      <w:marLeft w:val="0"/>
      <w:marRight w:val="0"/>
      <w:marTop w:val="0"/>
      <w:marBottom w:val="0"/>
      <w:divBdr>
        <w:top w:val="none" w:sz="0" w:space="0" w:color="auto"/>
        <w:left w:val="none" w:sz="0" w:space="0" w:color="auto"/>
        <w:bottom w:val="none" w:sz="0" w:space="0" w:color="auto"/>
        <w:right w:val="none" w:sz="0" w:space="0" w:color="auto"/>
      </w:divBdr>
    </w:div>
    <w:div w:id="438067572">
      <w:bodyDiv w:val="1"/>
      <w:marLeft w:val="0"/>
      <w:marRight w:val="0"/>
      <w:marTop w:val="0"/>
      <w:marBottom w:val="0"/>
      <w:divBdr>
        <w:top w:val="none" w:sz="0" w:space="0" w:color="auto"/>
        <w:left w:val="none" w:sz="0" w:space="0" w:color="auto"/>
        <w:bottom w:val="none" w:sz="0" w:space="0" w:color="auto"/>
        <w:right w:val="none" w:sz="0" w:space="0" w:color="auto"/>
      </w:divBdr>
    </w:div>
    <w:div w:id="454370604">
      <w:bodyDiv w:val="1"/>
      <w:marLeft w:val="0"/>
      <w:marRight w:val="0"/>
      <w:marTop w:val="0"/>
      <w:marBottom w:val="0"/>
      <w:divBdr>
        <w:top w:val="none" w:sz="0" w:space="0" w:color="auto"/>
        <w:left w:val="none" w:sz="0" w:space="0" w:color="auto"/>
        <w:bottom w:val="none" w:sz="0" w:space="0" w:color="auto"/>
        <w:right w:val="none" w:sz="0" w:space="0" w:color="auto"/>
      </w:divBdr>
    </w:div>
    <w:div w:id="462188504">
      <w:bodyDiv w:val="1"/>
      <w:marLeft w:val="0"/>
      <w:marRight w:val="0"/>
      <w:marTop w:val="0"/>
      <w:marBottom w:val="0"/>
      <w:divBdr>
        <w:top w:val="none" w:sz="0" w:space="0" w:color="auto"/>
        <w:left w:val="none" w:sz="0" w:space="0" w:color="auto"/>
        <w:bottom w:val="none" w:sz="0" w:space="0" w:color="auto"/>
        <w:right w:val="none" w:sz="0" w:space="0" w:color="auto"/>
      </w:divBdr>
    </w:div>
    <w:div w:id="570307760">
      <w:bodyDiv w:val="1"/>
      <w:marLeft w:val="0"/>
      <w:marRight w:val="0"/>
      <w:marTop w:val="0"/>
      <w:marBottom w:val="0"/>
      <w:divBdr>
        <w:top w:val="none" w:sz="0" w:space="0" w:color="auto"/>
        <w:left w:val="none" w:sz="0" w:space="0" w:color="auto"/>
        <w:bottom w:val="none" w:sz="0" w:space="0" w:color="auto"/>
        <w:right w:val="none" w:sz="0" w:space="0" w:color="auto"/>
      </w:divBdr>
    </w:div>
    <w:div w:id="691686624">
      <w:bodyDiv w:val="1"/>
      <w:marLeft w:val="0"/>
      <w:marRight w:val="0"/>
      <w:marTop w:val="0"/>
      <w:marBottom w:val="0"/>
      <w:divBdr>
        <w:top w:val="none" w:sz="0" w:space="0" w:color="auto"/>
        <w:left w:val="none" w:sz="0" w:space="0" w:color="auto"/>
        <w:bottom w:val="none" w:sz="0" w:space="0" w:color="auto"/>
        <w:right w:val="none" w:sz="0" w:space="0" w:color="auto"/>
      </w:divBdr>
    </w:div>
    <w:div w:id="696782513">
      <w:bodyDiv w:val="1"/>
      <w:marLeft w:val="0"/>
      <w:marRight w:val="0"/>
      <w:marTop w:val="0"/>
      <w:marBottom w:val="0"/>
      <w:divBdr>
        <w:top w:val="none" w:sz="0" w:space="0" w:color="auto"/>
        <w:left w:val="none" w:sz="0" w:space="0" w:color="auto"/>
        <w:bottom w:val="none" w:sz="0" w:space="0" w:color="auto"/>
        <w:right w:val="none" w:sz="0" w:space="0" w:color="auto"/>
      </w:divBdr>
    </w:div>
    <w:div w:id="759987805">
      <w:bodyDiv w:val="1"/>
      <w:marLeft w:val="0"/>
      <w:marRight w:val="0"/>
      <w:marTop w:val="0"/>
      <w:marBottom w:val="0"/>
      <w:divBdr>
        <w:top w:val="none" w:sz="0" w:space="0" w:color="auto"/>
        <w:left w:val="none" w:sz="0" w:space="0" w:color="auto"/>
        <w:bottom w:val="none" w:sz="0" w:space="0" w:color="auto"/>
        <w:right w:val="none" w:sz="0" w:space="0" w:color="auto"/>
      </w:divBdr>
    </w:div>
    <w:div w:id="845945732">
      <w:bodyDiv w:val="1"/>
      <w:marLeft w:val="0"/>
      <w:marRight w:val="0"/>
      <w:marTop w:val="0"/>
      <w:marBottom w:val="0"/>
      <w:divBdr>
        <w:top w:val="none" w:sz="0" w:space="0" w:color="auto"/>
        <w:left w:val="none" w:sz="0" w:space="0" w:color="auto"/>
        <w:bottom w:val="none" w:sz="0" w:space="0" w:color="auto"/>
        <w:right w:val="none" w:sz="0" w:space="0" w:color="auto"/>
      </w:divBdr>
    </w:div>
    <w:div w:id="870072353">
      <w:bodyDiv w:val="1"/>
      <w:marLeft w:val="0"/>
      <w:marRight w:val="0"/>
      <w:marTop w:val="0"/>
      <w:marBottom w:val="0"/>
      <w:divBdr>
        <w:top w:val="none" w:sz="0" w:space="0" w:color="auto"/>
        <w:left w:val="none" w:sz="0" w:space="0" w:color="auto"/>
        <w:bottom w:val="none" w:sz="0" w:space="0" w:color="auto"/>
        <w:right w:val="none" w:sz="0" w:space="0" w:color="auto"/>
      </w:divBdr>
    </w:div>
    <w:div w:id="899439789">
      <w:bodyDiv w:val="1"/>
      <w:marLeft w:val="0"/>
      <w:marRight w:val="0"/>
      <w:marTop w:val="0"/>
      <w:marBottom w:val="0"/>
      <w:divBdr>
        <w:top w:val="none" w:sz="0" w:space="0" w:color="auto"/>
        <w:left w:val="none" w:sz="0" w:space="0" w:color="auto"/>
        <w:bottom w:val="none" w:sz="0" w:space="0" w:color="auto"/>
        <w:right w:val="none" w:sz="0" w:space="0" w:color="auto"/>
      </w:divBdr>
    </w:div>
    <w:div w:id="956915833">
      <w:bodyDiv w:val="1"/>
      <w:marLeft w:val="0"/>
      <w:marRight w:val="0"/>
      <w:marTop w:val="0"/>
      <w:marBottom w:val="0"/>
      <w:divBdr>
        <w:top w:val="none" w:sz="0" w:space="0" w:color="auto"/>
        <w:left w:val="none" w:sz="0" w:space="0" w:color="auto"/>
        <w:bottom w:val="none" w:sz="0" w:space="0" w:color="auto"/>
        <w:right w:val="none" w:sz="0" w:space="0" w:color="auto"/>
      </w:divBdr>
    </w:div>
    <w:div w:id="1012686700">
      <w:bodyDiv w:val="1"/>
      <w:marLeft w:val="0"/>
      <w:marRight w:val="0"/>
      <w:marTop w:val="0"/>
      <w:marBottom w:val="0"/>
      <w:divBdr>
        <w:top w:val="none" w:sz="0" w:space="0" w:color="auto"/>
        <w:left w:val="none" w:sz="0" w:space="0" w:color="auto"/>
        <w:bottom w:val="none" w:sz="0" w:space="0" w:color="auto"/>
        <w:right w:val="none" w:sz="0" w:space="0" w:color="auto"/>
      </w:divBdr>
    </w:div>
    <w:div w:id="1020349867">
      <w:bodyDiv w:val="1"/>
      <w:marLeft w:val="0"/>
      <w:marRight w:val="0"/>
      <w:marTop w:val="0"/>
      <w:marBottom w:val="0"/>
      <w:divBdr>
        <w:top w:val="none" w:sz="0" w:space="0" w:color="auto"/>
        <w:left w:val="none" w:sz="0" w:space="0" w:color="auto"/>
        <w:bottom w:val="none" w:sz="0" w:space="0" w:color="auto"/>
        <w:right w:val="none" w:sz="0" w:space="0" w:color="auto"/>
      </w:divBdr>
    </w:div>
    <w:div w:id="1036197930">
      <w:bodyDiv w:val="1"/>
      <w:marLeft w:val="0"/>
      <w:marRight w:val="0"/>
      <w:marTop w:val="0"/>
      <w:marBottom w:val="0"/>
      <w:divBdr>
        <w:top w:val="none" w:sz="0" w:space="0" w:color="auto"/>
        <w:left w:val="none" w:sz="0" w:space="0" w:color="auto"/>
        <w:bottom w:val="none" w:sz="0" w:space="0" w:color="auto"/>
        <w:right w:val="none" w:sz="0" w:space="0" w:color="auto"/>
      </w:divBdr>
    </w:div>
    <w:div w:id="1138382329">
      <w:bodyDiv w:val="1"/>
      <w:marLeft w:val="0"/>
      <w:marRight w:val="0"/>
      <w:marTop w:val="0"/>
      <w:marBottom w:val="0"/>
      <w:divBdr>
        <w:top w:val="none" w:sz="0" w:space="0" w:color="auto"/>
        <w:left w:val="none" w:sz="0" w:space="0" w:color="auto"/>
        <w:bottom w:val="none" w:sz="0" w:space="0" w:color="auto"/>
        <w:right w:val="none" w:sz="0" w:space="0" w:color="auto"/>
      </w:divBdr>
    </w:div>
    <w:div w:id="1245841525">
      <w:bodyDiv w:val="1"/>
      <w:marLeft w:val="0"/>
      <w:marRight w:val="0"/>
      <w:marTop w:val="0"/>
      <w:marBottom w:val="0"/>
      <w:divBdr>
        <w:top w:val="none" w:sz="0" w:space="0" w:color="auto"/>
        <w:left w:val="none" w:sz="0" w:space="0" w:color="auto"/>
        <w:bottom w:val="none" w:sz="0" w:space="0" w:color="auto"/>
        <w:right w:val="none" w:sz="0" w:space="0" w:color="auto"/>
      </w:divBdr>
    </w:div>
    <w:div w:id="1277563870">
      <w:bodyDiv w:val="1"/>
      <w:marLeft w:val="0"/>
      <w:marRight w:val="0"/>
      <w:marTop w:val="0"/>
      <w:marBottom w:val="0"/>
      <w:divBdr>
        <w:top w:val="none" w:sz="0" w:space="0" w:color="auto"/>
        <w:left w:val="none" w:sz="0" w:space="0" w:color="auto"/>
        <w:bottom w:val="none" w:sz="0" w:space="0" w:color="auto"/>
        <w:right w:val="none" w:sz="0" w:space="0" w:color="auto"/>
      </w:divBdr>
    </w:div>
    <w:div w:id="1288973740">
      <w:bodyDiv w:val="1"/>
      <w:marLeft w:val="0"/>
      <w:marRight w:val="0"/>
      <w:marTop w:val="0"/>
      <w:marBottom w:val="0"/>
      <w:divBdr>
        <w:top w:val="none" w:sz="0" w:space="0" w:color="auto"/>
        <w:left w:val="none" w:sz="0" w:space="0" w:color="auto"/>
        <w:bottom w:val="none" w:sz="0" w:space="0" w:color="auto"/>
        <w:right w:val="none" w:sz="0" w:space="0" w:color="auto"/>
      </w:divBdr>
    </w:div>
    <w:div w:id="1396705198">
      <w:bodyDiv w:val="1"/>
      <w:marLeft w:val="0"/>
      <w:marRight w:val="0"/>
      <w:marTop w:val="0"/>
      <w:marBottom w:val="0"/>
      <w:divBdr>
        <w:top w:val="none" w:sz="0" w:space="0" w:color="auto"/>
        <w:left w:val="none" w:sz="0" w:space="0" w:color="auto"/>
        <w:bottom w:val="none" w:sz="0" w:space="0" w:color="auto"/>
        <w:right w:val="none" w:sz="0" w:space="0" w:color="auto"/>
      </w:divBdr>
    </w:div>
    <w:div w:id="1471896185">
      <w:bodyDiv w:val="1"/>
      <w:marLeft w:val="0"/>
      <w:marRight w:val="0"/>
      <w:marTop w:val="0"/>
      <w:marBottom w:val="0"/>
      <w:divBdr>
        <w:top w:val="none" w:sz="0" w:space="0" w:color="auto"/>
        <w:left w:val="none" w:sz="0" w:space="0" w:color="auto"/>
        <w:bottom w:val="none" w:sz="0" w:space="0" w:color="auto"/>
        <w:right w:val="none" w:sz="0" w:space="0" w:color="auto"/>
      </w:divBdr>
    </w:div>
    <w:div w:id="1476216778">
      <w:bodyDiv w:val="1"/>
      <w:marLeft w:val="0"/>
      <w:marRight w:val="0"/>
      <w:marTop w:val="0"/>
      <w:marBottom w:val="0"/>
      <w:divBdr>
        <w:top w:val="none" w:sz="0" w:space="0" w:color="auto"/>
        <w:left w:val="none" w:sz="0" w:space="0" w:color="auto"/>
        <w:bottom w:val="none" w:sz="0" w:space="0" w:color="auto"/>
        <w:right w:val="none" w:sz="0" w:space="0" w:color="auto"/>
      </w:divBdr>
    </w:div>
    <w:div w:id="1489396458">
      <w:bodyDiv w:val="1"/>
      <w:marLeft w:val="0"/>
      <w:marRight w:val="0"/>
      <w:marTop w:val="0"/>
      <w:marBottom w:val="0"/>
      <w:divBdr>
        <w:top w:val="none" w:sz="0" w:space="0" w:color="auto"/>
        <w:left w:val="none" w:sz="0" w:space="0" w:color="auto"/>
        <w:bottom w:val="none" w:sz="0" w:space="0" w:color="auto"/>
        <w:right w:val="none" w:sz="0" w:space="0" w:color="auto"/>
      </w:divBdr>
    </w:div>
    <w:div w:id="1515919857">
      <w:bodyDiv w:val="1"/>
      <w:marLeft w:val="0"/>
      <w:marRight w:val="0"/>
      <w:marTop w:val="0"/>
      <w:marBottom w:val="0"/>
      <w:divBdr>
        <w:top w:val="none" w:sz="0" w:space="0" w:color="auto"/>
        <w:left w:val="none" w:sz="0" w:space="0" w:color="auto"/>
        <w:bottom w:val="none" w:sz="0" w:space="0" w:color="auto"/>
        <w:right w:val="none" w:sz="0" w:space="0" w:color="auto"/>
      </w:divBdr>
    </w:div>
    <w:div w:id="1516724430">
      <w:bodyDiv w:val="1"/>
      <w:marLeft w:val="0"/>
      <w:marRight w:val="0"/>
      <w:marTop w:val="0"/>
      <w:marBottom w:val="0"/>
      <w:divBdr>
        <w:top w:val="none" w:sz="0" w:space="0" w:color="auto"/>
        <w:left w:val="none" w:sz="0" w:space="0" w:color="auto"/>
        <w:bottom w:val="none" w:sz="0" w:space="0" w:color="auto"/>
        <w:right w:val="none" w:sz="0" w:space="0" w:color="auto"/>
      </w:divBdr>
    </w:div>
    <w:div w:id="1601991820">
      <w:bodyDiv w:val="1"/>
      <w:marLeft w:val="0"/>
      <w:marRight w:val="0"/>
      <w:marTop w:val="0"/>
      <w:marBottom w:val="0"/>
      <w:divBdr>
        <w:top w:val="none" w:sz="0" w:space="0" w:color="auto"/>
        <w:left w:val="none" w:sz="0" w:space="0" w:color="auto"/>
        <w:bottom w:val="none" w:sz="0" w:space="0" w:color="auto"/>
        <w:right w:val="none" w:sz="0" w:space="0" w:color="auto"/>
      </w:divBdr>
    </w:div>
    <w:div w:id="1629700703">
      <w:bodyDiv w:val="1"/>
      <w:marLeft w:val="0"/>
      <w:marRight w:val="0"/>
      <w:marTop w:val="0"/>
      <w:marBottom w:val="0"/>
      <w:divBdr>
        <w:top w:val="none" w:sz="0" w:space="0" w:color="auto"/>
        <w:left w:val="none" w:sz="0" w:space="0" w:color="auto"/>
        <w:bottom w:val="none" w:sz="0" w:space="0" w:color="auto"/>
        <w:right w:val="none" w:sz="0" w:space="0" w:color="auto"/>
      </w:divBdr>
    </w:div>
    <w:div w:id="1737511549">
      <w:bodyDiv w:val="1"/>
      <w:marLeft w:val="0"/>
      <w:marRight w:val="0"/>
      <w:marTop w:val="0"/>
      <w:marBottom w:val="0"/>
      <w:divBdr>
        <w:top w:val="none" w:sz="0" w:space="0" w:color="auto"/>
        <w:left w:val="none" w:sz="0" w:space="0" w:color="auto"/>
        <w:bottom w:val="none" w:sz="0" w:space="0" w:color="auto"/>
        <w:right w:val="none" w:sz="0" w:space="0" w:color="auto"/>
      </w:divBdr>
    </w:div>
    <w:div w:id="1808890273">
      <w:bodyDiv w:val="1"/>
      <w:marLeft w:val="0"/>
      <w:marRight w:val="0"/>
      <w:marTop w:val="0"/>
      <w:marBottom w:val="0"/>
      <w:divBdr>
        <w:top w:val="none" w:sz="0" w:space="0" w:color="auto"/>
        <w:left w:val="none" w:sz="0" w:space="0" w:color="auto"/>
        <w:bottom w:val="none" w:sz="0" w:space="0" w:color="auto"/>
        <w:right w:val="none" w:sz="0" w:space="0" w:color="auto"/>
      </w:divBdr>
    </w:div>
    <w:div w:id="1815102126">
      <w:bodyDiv w:val="1"/>
      <w:marLeft w:val="0"/>
      <w:marRight w:val="0"/>
      <w:marTop w:val="0"/>
      <w:marBottom w:val="0"/>
      <w:divBdr>
        <w:top w:val="none" w:sz="0" w:space="0" w:color="auto"/>
        <w:left w:val="none" w:sz="0" w:space="0" w:color="auto"/>
        <w:bottom w:val="none" w:sz="0" w:space="0" w:color="auto"/>
        <w:right w:val="none" w:sz="0" w:space="0" w:color="auto"/>
      </w:divBdr>
    </w:div>
    <w:div w:id="1856766373">
      <w:bodyDiv w:val="1"/>
      <w:marLeft w:val="0"/>
      <w:marRight w:val="0"/>
      <w:marTop w:val="0"/>
      <w:marBottom w:val="0"/>
      <w:divBdr>
        <w:top w:val="none" w:sz="0" w:space="0" w:color="auto"/>
        <w:left w:val="none" w:sz="0" w:space="0" w:color="auto"/>
        <w:bottom w:val="none" w:sz="0" w:space="0" w:color="auto"/>
        <w:right w:val="none" w:sz="0" w:space="0" w:color="auto"/>
      </w:divBdr>
    </w:div>
    <w:div w:id="1907064185">
      <w:bodyDiv w:val="1"/>
      <w:marLeft w:val="0"/>
      <w:marRight w:val="0"/>
      <w:marTop w:val="0"/>
      <w:marBottom w:val="0"/>
      <w:divBdr>
        <w:top w:val="none" w:sz="0" w:space="0" w:color="auto"/>
        <w:left w:val="none" w:sz="0" w:space="0" w:color="auto"/>
        <w:bottom w:val="none" w:sz="0" w:space="0" w:color="auto"/>
        <w:right w:val="none" w:sz="0" w:space="0" w:color="auto"/>
      </w:divBdr>
    </w:div>
    <w:div w:id="1959487006">
      <w:bodyDiv w:val="1"/>
      <w:marLeft w:val="0"/>
      <w:marRight w:val="0"/>
      <w:marTop w:val="0"/>
      <w:marBottom w:val="0"/>
      <w:divBdr>
        <w:top w:val="none" w:sz="0" w:space="0" w:color="auto"/>
        <w:left w:val="none" w:sz="0" w:space="0" w:color="auto"/>
        <w:bottom w:val="none" w:sz="0" w:space="0" w:color="auto"/>
        <w:right w:val="none" w:sz="0" w:space="0" w:color="auto"/>
      </w:divBdr>
    </w:div>
    <w:div w:id="1962031535">
      <w:bodyDiv w:val="1"/>
      <w:marLeft w:val="0"/>
      <w:marRight w:val="0"/>
      <w:marTop w:val="0"/>
      <w:marBottom w:val="0"/>
      <w:divBdr>
        <w:top w:val="none" w:sz="0" w:space="0" w:color="auto"/>
        <w:left w:val="none" w:sz="0" w:space="0" w:color="auto"/>
        <w:bottom w:val="none" w:sz="0" w:space="0" w:color="auto"/>
        <w:right w:val="none" w:sz="0" w:space="0" w:color="auto"/>
      </w:divBdr>
    </w:div>
    <w:div w:id="1999115262">
      <w:bodyDiv w:val="1"/>
      <w:marLeft w:val="0"/>
      <w:marRight w:val="0"/>
      <w:marTop w:val="0"/>
      <w:marBottom w:val="0"/>
      <w:divBdr>
        <w:top w:val="none" w:sz="0" w:space="0" w:color="auto"/>
        <w:left w:val="none" w:sz="0" w:space="0" w:color="auto"/>
        <w:bottom w:val="none" w:sz="0" w:space="0" w:color="auto"/>
        <w:right w:val="none" w:sz="0" w:space="0" w:color="auto"/>
      </w:divBdr>
    </w:div>
    <w:div w:id="2033148239">
      <w:bodyDiv w:val="1"/>
      <w:marLeft w:val="0"/>
      <w:marRight w:val="0"/>
      <w:marTop w:val="0"/>
      <w:marBottom w:val="0"/>
      <w:divBdr>
        <w:top w:val="none" w:sz="0" w:space="0" w:color="auto"/>
        <w:left w:val="none" w:sz="0" w:space="0" w:color="auto"/>
        <w:bottom w:val="none" w:sz="0" w:space="0" w:color="auto"/>
        <w:right w:val="none" w:sz="0" w:space="0" w:color="auto"/>
      </w:divBdr>
    </w:div>
    <w:div w:id="2090954874">
      <w:bodyDiv w:val="1"/>
      <w:marLeft w:val="0"/>
      <w:marRight w:val="0"/>
      <w:marTop w:val="0"/>
      <w:marBottom w:val="0"/>
      <w:divBdr>
        <w:top w:val="none" w:sz="0" w:space="0" w:color="auto"/>
        <w:left w:val="none" w:sz="0" w:space="0" w:color="auto"/>
        <w:bottom w:val="none" w:sz="0" w:space="0" w:color="auto"/>
        <w:right w:val="none" w:sz="0" w:space="0" w:color="auto"/>
      </w:divBdr>
    </w:div>
    <w:div w:id="212364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en.wikipedia.org/wiki/Stock_fund" TargetMode="External" Id="rId13" /><Relationship Type="http://schemas.openxmlformats.org/officeDocument/2006/relationships/header" Target="header1.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hyperlink" Target="https://en.wikipedia.org/wiki/MSCI_Inc." TargetMode="External" Id="rId12" /><Relationship Type="http://schemas.openxmlformats.org/officeDocument/2006/relationships/hyperlink" Target="https://www.msci.com/documents/10199/149ed7bc-316e-4b4c-8ea4-43fcb5bd6523" TargetMode="External" Id="rId17" /><Relationship Type="http://schemas.openxmlformats.org/officeDocument/2006/relationships/glossaryDocument" Target="glossary/document.xml" Id="rId25" /><Relationship Type="http://schemas.openxmlformats.org/officeDocument/2006/relationships/customXml" Target="../customXml/item2.xml" Id="rId2" /><Relationship Type="http://schemas.openxmlformats.org/officeDocument/2006/relationships/hyperlink" Target="https://www.msci.com/developed-market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customXml" Target="../customXml/item5.xml" Id="rId5" /><Relationship Type="http://schemas.openxmlformats.org/officeDocument/2006/relationships/hyperlink" Target="https://en.wikipedia.org/wiki/Security_(finance)" TargetMode="External" Id="rId15" /><Relationship Type="http://schemas.openxmlformats.org/officeDocument/2006/relationships/footer" Target="footer3.xml" Id="rId23"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en.wikipedia.org/wiki/Developed_market" TargetMode="External" Id="rId14" /><Relationship Type="http://schemas.openxmlformats.org/officeDocument/2006/relationships/header" Target="header3.xml" Id="rId22" /><Relationship Type="http://schemas.openxmlformats.org/officeDocument/2006/relationships/customXml" Target="/customXML/item6.xml" Id="imanage.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1146BD6E1E484BBCAC8B0FDE1668A4"/>
        <w:category>
          <w:name w:val="General"/>
          <w:gallery w:val="placeholder"/>
        </w:category>
        <w:types>
          <w:type w:val="bbPlcHdr"/>
        </w:types>
        <w:behaviors>
          <w:behavior w:val="content"/>
        </w:behaviors>
        <w:guid w:val="{C9AC07D6-9BAF-47E2-BD40-F78634AC6C95}"/>
      </w:docPartPr>
      <w:docPartBody>
        <w:p w:rsidR="00672ADD" w:rsidRDefault="00672ADD"/>
      </w:docPartBody>
    </w:docPart>
    <w:docPart>
      <w:docPartPr>
        <w:name w:val="EB2B5D36F11A4C75A867D8357798B3D8"/>
        <w:category>
          <w:name w:val="General"/>
          <w:gallery w:val="placeholder"/>
        </w:category>
        <w:types>
          <w:type w:val="bbPlcHdr"/>
        </w:types>
        <w:behaviors>
          <w:behavior w:val="content"/>
        </w:behaviors>
        <w:guid w:val="{CF4EDD90-8DA1-4527-B9F7-181E5C479B24}"/>
      </w:docPartPr>
      <w:docPartBody>
        <w:p w:rsidR="00672ADD" w:rsidRDefault="00672ADD"/>
      </w:docPartBody>
    </w:docPart>
    <w:docPart>
      <w:docPartPr>
        <w:name w:val="F55D284D59C745AFB89CA66751E1222A"/>
        <w:category>
          <w:name w:val="General"/>
          <w:gallery w:val="placeholder"/>
        </w:category>
        <w:types>
          <w:type w:val="bbPlcHdr"/>
        </w:types>
        <w:behaviors>
          <w:behavior w:val="content"/>
        </w:behaviors>
        <w:guid w:val="{87698E3D-12D9-44C9-89E8-7CFD2F13ECDF}"/>
      </w:docPartPr>
      <w:docPartBody>
        <w:p w:rsidR="00672ADD" w:rsidRDefault="00672AD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EA3"/>
    <w:rsid w:val="001335F7"/>
    <w:rsid w:val="0030682C"/>
    <w:rsid w:val="003E4113"/>
    <w:rsid w:val="005A5EA3"/>
    <w:rsid w:val="006413F7"/>
    <w:rsid w:val="00672ADD"/>
    <w:rsid w:val="00865D7A"/>
    <w:rsid w:val="00CC07BD"/>
    <w:rsid w:val="00DE1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EA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6.xml.rels>&#65279;<?xml version="1.0" encoding="utf-8"?><Relationships xmlns="http://schemas.openxmlformats.org/package/2006/relationships"><Relationship Type="http://schemas.openxmlformats.org/officeDocument/2006/relationships/customXmlProps" Target="/customXML/itemProps6.xml" Id="iManageProps" /></Relationships>
</file>

<file path=customXML/item6.xml><?xml version="1.0" encoding="utf-8"?>
<properties xmlns="http://www.imanage.com/work/xmlschema">
  <documentid>MOPDUBLIN!56201173.5</documentid>
  <senderid>ROCKA</senderid>
  <senderemail>AOIFE.ROCK@MATHESON.COM</senderemail>
  <lastmodified>2026-08-25T14:33:00.0000000+01:00</lastmodified>
  <database>MOPDUBLIN</database>
</properties>
</file>

<file path=customXML/itemProps6.xml><?xml version="1.0" encoding="utf-8"?>
<ds:datastoreItem xmlns:ds="http://schemas.openxmlformats.org/officeDocument/2006/customXml" ds:itemID="{76AC5D5B-CB57-4189-90B1-53DBE31CEF15}">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A020F0445B1244B3628883B36C1971" ma:contentTypeVersion="7" ma:contentTypeDescription="Create a new document." ma:contentTypeScope="" ma:versionID="4cfbd830de4e147303909ea2e5126b22">
  <xsd:schema xmlns:xsd="http://www.w3.org/2001/XMLSchema" xmlns:xs="http://www.w3.org/2001/XMLSchema" xmlns:p="http://schemas.microsoft.com/office/2006/metadata/properties" xmlns:ns2="ae2f1eaf-52a1-419c-bc11-c2c832d5a7a5" targetNamespace="http://schemas.microsoft.com/office/2006/metadata/properties" ma:root="true" ma:fieldsID="bc231ad4948af383b410fbc31a4ccc62" ns2:_="">
    <xsd:import namespace="ae2f1eaf-52a1-419c-bc11-c2c832d5a7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f1eaf-52a1-419c-bc11-c2c832d5a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xs:element ref="pc:AccountId" minOccurs="0">
          </xs:element>
          <xs:element ref="pc:AccountType" minOccurs="0">
          </xs:element>
        </xs:sequence>
      </xs:complexType>
    </xs:element>
    <xs:element name="DisplayName" type="xs:string">
    </xs:element>
    <xs:element name="AccountId" type="xs:string">
    </xs:element>
    <xs:element name="AccountType" type="xs:string">
    </xs:element>
    <xs:element name="BDCAssociatedEntity">
      <xs:complexType>
        <xs:sequence>
          <xs:element ref="pc:BDCEntity" minOccurs="0" maxOccurs="unbounded">
          </xs:element>
        </xs:sequence>
        <xs:attribute ref="pc:EntityNamespace">
        </xs:attribute>
        <xs:attribute ref="pc:EntityName">
        </xs:attribute>
        <xs:attribute ref="pc:SystemInstanceName">
        </xs:attribute>
        <xs:attribute ref="pc:AssociationName">
        </xs:attribute>
      </xs:complexType>
    </xs:element>
    <xs:attribute name="EntityNamespace" type="xs:string">
    </xs:attribute>
    <xs:attribute name="EntityName" type="xs:string">
    </xs:attribute>
    <xs:attribute name="SystemInstanceName" type="xs:string">
    </xs:attribute>
    <xs:attribute name="AssociationName" type="xs:string">
    </xs:attribute>
    <xs:element name="BDCEntity">
      <xs:complexType>
        <xs:sequence>
          <xs:element ref="pc:EntityDisplayName" minOccurs="0">
          </xs:element>
          <xs:element ref="pc:EntityInstanceReference" minOccurs="0">
          </xs:element>
          <xs:element ref="pc:EntityId1" minOccurs="0">
          </xs:element>
          <xs:element ref="pc:EntityId2" minOccurs="0">
          </xs:element>
          <xs:element ref="pc:EntityId3" minOccurs="0">
          </xs:element>
          <xs:element ref="pc:EntityId4" minOccurs="0">
          </xs:element>
          <xs:element ref="pc:EntityId5" minOccurs="0">
          </xs:element>
        </xs:sequence>
      </xs:complexType>
    </xs:element>
    <xs:element name="EntityDisplayName" type="xs:string">
    </xs:element>
    <xs:element name="EntityInstanceReference" type="xs:string">
    </xs:element>
    <xs:element name="EntityId1" type="xs:string">
    </xs:element>
    <xs:element name="EntityId2" type="xs:string">
    </xs:element>
    <xs:element name="EntityId3" type="xs:string">
    </xs:element>
    <xs:element name="EntityId4" type="xs:string">
    </xs:element>
    <xs:element name="EntityId5" type="xs:string">
    </xs:element>
    <xs:element name="Terms">
      <xs:complexType>
        <xs:sequence>
          <xs:element ref="pc:TermInfo" minOccurs="0" maxOccurs="unbounded">
          </xs:element>
        </xs:sequence>
      </xs:complexType>
    </xs:element>
    <xs:element name="TermInfo">
      <xs:complexType>
        <xs:sequence>
          <xs:element ref="pc:TermName" minOccurs="0">
          </xs:element>
          <xs:element ref="pc:TermId" minOccurs="0">
          </xs:element>
        </xs:sequence>
      </xs:complexType>
    </xs:element>
    <xs:element name="TermName" type="xs:string">
    </xs:element>
    <xs:element name="TermId" type="xs:string">
    </xs:element>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B87EFB14-11ED-4A9C-924A-D1FDF8A80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f1eaf-52a1-419c-bc11-c2c832d5a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D53E83-B1CA-469F-86A4-845FB59AC472}">
  <ds:schemaRefs>
    <ds:schemaRef ds:uri="http://schemas.openxmlformats.org/officeDocument/2006/bibliography"/>
  </ds:schemaRefs>
</ds:datastoreItem>
</file>

<file path=customXml/itemProps3.xml><?xml version="1.0" encoding="utf-8"?>
<ds:datastoreItem xmlns:ds="http://schemas.openxmlformats.org/officeDocument/2006/customXml" ds:itemID="{0263A194-E079-45A3-A234-B3572D1399FA}">
  <ds:schemaRefs>
    <ds:schemaRef ds:uri="http://schemas.microsoft.com/sharepoint/v3/contenttype/forms"/>
  </ds:schemaRefs>
</ds:datastoreItem>
</file>

<file path=customXml/itemProps4.xml><?xml version="1.0" encoding="utf-8"?>
<ds:datastoreItem xmlns:ds="http://schemas.openxmlformats.org/officeDocument/2006/customXml" ds:itemID="{182F406E-1E2A-4F01-A39D-626BD9C8650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597EEEC-1C96-4786-AE88-692A6FDF18AC}">
  <ds:schemaRefs>
    <ds:schemaRef ds:uri="http://www.w3.org/2001/XMLSchema"/>
    <ds:schemaRef ds:uri="http://iphelion.com/word/outline/"/>
  </ds:schemaRefs>
</ds:datastoreItem>
</file>

<file path=docMetadata/LabelInfo.xml><?xml version="1.0" encoding="utf-8"?>
<clbl:labelList xmlns:clbl="http://schemas.microsoft.com/office/2020/mipLabelMetadata">
  <clbl:label id="{ce0c078c-cf1c-40d8-a3c8-4eb9b3c00cde}" enabled="1" method="Standard" siteId="{c355ea14-aaac-421a-b090-2547f5264801}"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16</Pages>
  <Words>6044</Words>
  <Characters>34453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Draft Supplement -All Weather CGEM -DE 20.08 compared with Draft Supplement -All Weather CGEM -AW 23.08</vt:lpstr>
    </vt:vector>
  </TitlesOfParts>
  <Company>Dillon Eustace</Company>
  <LinksUpToDate>false</LinksUpToDate>
  <CharactersWithSpaces>40417</CharactersWithSpaces>
  <SharedDoc>false</SharedDoc>
  <HLinks>
    <vt:vector size="12" baseType="variant">
      <vt:variant>
        <vt:i4>7405570</vt:i4>
      </vt:variant>
      <vt:variant>
        <vt:i4>3</vt:i4>
      </vt:variant>
      <vt:variant>
        <vt:i4>0</vt:i4>
      </vt:variant>
      <vt:variant>
        <vt:i4>5</vt:i4>
      </vt:variant>
      <vt:variant>
        <vt:lpwstr>mailto:Mark@allweather.co.za</vt:lpwstr>
      </vt:variant>
      <vt:variant>
        <vt:lpwstr/>
      </vt:variant>
      <vt:variant>
        <vt:i4>7405570</vt:i4>
      </vt:variant>
      <vt:variant>
        <vt:i4>0</vt:i4>
      </vt:variant>
      <vt:variant>
        <vt:i4>0</vt:i4>
      </vt:variant>
      <vt:variant>
        <vt:i4>5</vt:i4>
      </vt:variant>
      <vt:variant>
        <vt:lpwstr>mailto:Mark@allweather.co.za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Supplement -All Weather CGEM -DE 20.08 compared with Draft Supplement -All Weather CGEM -AW 23.08</dc:title>
  <dc:subject>
  </dc:subject>
  <dc:creator>Fionan O'Maoilmhichil</dc:creator>
  <cp:keywords>
  </cp:keywords>
  <dc:description>
  </dc:description>
  <cp:lastModifiedBy>Rock, Aoife</cp:lastModifiedBy>
  <cp:revision>11</cp:revision>
  <cp:lastPrinted>2022-09-23T13:33:00Z</cp:lastPrinted>
  <dcterms:created xsi:type="dcterms:W3CDTF">2026-08-24T12:22:00Z</dcterms:created>
  <dcterms:modified xsi:type="dcterms:W3CDTF">2026-08-25T13:33:00Z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/9041918v1</vt:lpwstr>
  </property>
  <property fmtid="{D5CDD505-2E9C-101B-9397-08002B2CF9AE}" pid="3" name="ContentTypeId">
    <vt:lpwstr>0x0101008DA020F0445B1244B3628883B36C1971</vt:lpwstr>
  </property>
  <property fmtid="{D5CDD505-2E9C-101B-9397-08002B2CF9AE}" pid="4" name="AuthorIds_UIVersion_512">
    <vt:lpwstr>6</vt:lpwstr>
  </property>
  <property fmtid="{D5CDD505-2E9C-101B-9397-08002B2CF9AE}" pid="5" name="/bp_dc_orgversion">
    <vt:lpwstr>!s1T:*nsi0:CIt8**reoV!AVn7!:tsn-d:Ee6:2d!:Sae:m422m:DMts!u12s0EIaadc2,:-bo7</vt:lpwstr>
  </property>
  <property fmtid="{D5CDD505-2E9C-101B-9397-08002B2CF9AE}" pid="6" name="/bp_dc_modversion">
    <vt:lpwstr>!s1T:*nsi0:CIt8**reoV!AVn7!:tsn-d:Ee6:2d!:Sae:m433m:DMts!u12s0EIaadc2,:-bo7</vt:lpwstr>
  </property>
  <property fmtid="{D5CDD505-2E9C-101B-9397-08002B2CF9AE}" pid="7" name="/bp_dc_filepath">
    <vt:lpwstr>Cla\os lMc:imDtpDDcc\tSAlE ox\ohpamofsoOfu- G-dUaip\ecd Duap WCA.sMcALTspcetrpte W8eOh\o\C\orpDlnar 0r\iFclopmau\eete2.slarptmh3</vt:lpwstr>
  </property>
  <property fmtid="{D5CDD505-2E9C-101B-9397-08002B2CF9AE}" pid="8" name="bp_dc_comparedocs">
    <vt:lpwstr>4.3.200.37 _tc</vt:lpwstr>
  </property>
  <property fmtid="{D5CDD505-2E9C-101B-9397-08002B2CF9AE}" pid="9" name="CUS_DocIDString">
    <vt:lpwstr>9155201v35</vt:lpwstr>
  </property>
  <property fmtid="{D5CDD505-2E9C-101B-9397-08002B2CF9AE}" pid="10" name="CUS_DocIDChunk0">
    <vt:lpwstr>9155201v35</vt:lpwstr>
  </property>
  <property fmtid="{D5CDD505-2E9C-101B-9397-08002B2CF9AE}" pid="11" name="CUS_DocIDActiveBits">
    <vt:lpwstr>98304</vt:lpwstr>
  </property>
  <property fmtid="{D5CDD505-2E9C-101B-9397-08002B2CF9AE}" pid="12" name="CUS_DocIDLocation">
    <vt:lpwstr>EVERY_PAGE</vt:lpwstr>
  </property>
  <property fmtid="{D5CDD505-2E9C-101B-9397-08002B2CF9AE}" pid="13" name="CUS_DocIDReference">
    <vt:lpwstr>everyPage</vt:lpwstr>
  </property>
  <property fmtid="{D5CDD505-2E9C-101B-9397-08002B2CF9AE}" pid="14" name="MSIP_Label_1d164be7-03a2-4291-9ff5-d26186382e5b_Enabled">
    <vt:lpwstr>true</vt:lpwstr>
  </property>
  <property fmtid="{D5CDD505-2E9C-101B-9397-08002B2CF9AE}" pid="15" name="MSIP_Label_1d164be7-03a2-4291-9ff5-d26186382e5b_SetDate">
    <vt:lpwstr>2026-06-05T14:45:07Z</vt:lpwstr>
  </property>
  <property fmtid="{D5CDD505-2E9C-101B-9397-08002B2CF9AE}" pid="16" name="MSIP_Label_1d164be7-03a2-4291-9ff5-d26186382e5b_Method">
    <vt:lpwstr>Standard</vt:lpwstr>
  </property>
  <property fmtid="{D5CDD505-2E9C-101B-9397-08002B2CF9AE}" pid="17" name="MSIP_Label_1d164be7-03a2-4291-9ff5-d26186382e5b_Name">
    <vt:lpwstr>General</vt:lpwstr>
  </property>
  <property fmtid="{D5CDD505-2E9C-101B-9397-08002B2CF9AE}" pid="18" name="MSIP_Label_1d164be7-03a2-4291-9ff5-d26186382e5b_SiteId">
    <vt:lpwstr>5e097b4a-acc6-4c11-8233-96ef54c26c08</vt:lpwstr>
  </property>
  <property fmtid="{D5CDD505-2E9C-101B-9397-08002B2CF9AE}" pid="19" name="MSIP_Label_1d164be7-03a2-4291-9ff5-d26186382e5b_ActionId">
    <vt:lpwstr>87a95c69-35d9-406a-8553-bd503233f260</vt:lpwstr>
  </property>
  <property fmtid="{D5CDD505-2E9C-101B-9397-08002B2CF9AE}" pid="20" name="MSIP_Label_1d164be7-03a2-4291-9ff5-d26186382e5b_ContentBits">
    <vt:lpwstr>0</vt:lpwstr>
  </property>
  <property fmtid="{D5CDD505-2E9C-101B-9397-08002B2CF9AE}" pid="21" name="MSIP_Label_1d164be7-03a2-4291-9ff5-d26186382e5b_Tag">
    <vt:lpwstr>10, 3, 0, 1</vt:lpwstr>
  </property>
</Properties>
</file>