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B163E" w14:textId="77777777" w:rsidR="0032425A" w:rsidRDefault="0032425A">
      <w:pPr>
        <w:keepNext/>
        <w:autoSpaceDE w:val="0"/>
        <w:autoSpaceDN w:val="0"/>
        <w:rPr>
          <w:vanish/>
          <w:sz w:val="2"/>
          <w:szCs w:val="2"/>
        </w:rPr>
      </w:pPr>
      <w:bookmarkStart w:id="0" w:name="_Page_1_0"/>
      <w:bookmarkEnd w:id="0"/>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32425A" w14:paraId="7C3AEECC" w14:textId="77777777">
        <w:trPr>
          <w:trHeight w:hRule="exact" w:val="226"/>
        </w:trPr>
        <w:tc>
          <w:tcPr>
            <w:tcW w:w="10544" w:type="dxa"/>
            <w:shd w:val="clear" w:color="auto" w:fill="auto"/>
            <w:noWrap/>
            <w:tcMar>
              <w:left w:w="56" w:type="dxa"/>
              <w:right w:w="56" w:type="dxa"/>
            </w:tcMar>
            <w:vAlign w:val="center"/>
          </w:tcPr>
          <w:p w14:paraId="40A1049E" w14:textId="77777777" w:rsidR="0032425A" w:rsidRDefault="0032425A">
            <w:pPr>
              <w:keepNext/>
              <w:autoSpaceDE w:val="0"/>
              <w:autoSpaceDN w:val="0"/>
              <w:jc w:val="both"/>
              <w:rPr>
                <w:rFonts w:ascii="Arial" w:eastAsia="Arial" w:hAnsi="Arial" w:cs="Arial"/>
                <w:color w:val="000000"/>
                <w:sz w:val="16"/>
              </w:rPr>
            </w:pPr>
          </w:p>
        </w:tc>
      </w:tr>
      <w:tr w:rsidR="0032425A" w14:paraId="0D7A2EEC" w14:textId="77777777">
        <w:trPr>
          <w:trHeight w:hRule="exact" w:val="453"/>
        </w:trPr>
        <w:tc>
          <w:tcPr>
            <w:tcW w:w="10544" w:type="dxa"/>
            <w:shd w:val="clear" w:color="auto" w:fill="auto"/>
            <w:noWrap/>
            <w:tcMar>
              <w:left w:w="56" w:type="dxa"/>
              <w:right w:w="56" w:type="dxa"/>
            </w:tcMar>
            <w:vAlign w:val="center"/>
          </w:tcPr>
          <w:p w14:paraId="7BE7FA4C" w14:textId="77777777" w:rsidR="0032425A" w:rsidRDefault="0032425A">
            <w:pPr>
              <w:keepNext/>
              <w:autoSpaceDE w:val="0"/>
              <w:autoSpaceDN w:val="0"/>
              <w:rPr>
                <w:rFonts w:ascii="Arial" w:eastAsia="Arial" w:hAnsi="Arial" w:cs="Arial"/>
                <w:color w:val="000000"/>
                <w:sz w:val="16"/>
              </w:rPr>
            </w:pPr>
          </w:p>
        </w:tc>
      </w:tr>
      <w:tr w:rsidR="0032425A" w14:paraId="39682F1E" w14:textId="77777777">
        <w:trPr>
          <w:trHeight w:hRule="exact" w:val="481"/>
        </w:trPr>
        <w:tc>
          <w:tcPr>
            <w:tcW w:w="10544" w:type="dxa"/>
            <w:shd w:val="clear" w:color="auto" w:fill="auto"/>
            <w:noWrap/>
            <w:tcMar>
              <w:left w:w="56" w:type="dxa"/>
              <w:right w:w="56" w:type="dxa"/>
            </w:tcMar>
            <w:vAlign w:val="center"/>
          </w:tcPr>
          <w:p w14:paraId="2366CA36" w14:textId="77777777" w:rsidR="0032425A" w:rsidRDefault="00ED14A1">
            <w:pPr>
              <w:keepNext/>
              <w:autoSpaceDE w:val="0"/>
              <w:autoSpaceDN w:val="0"/>
              <w:jc w:val="center"/>
            </w:pPr>
            <w:r>
              <w:rPr>
                <w:rFonts w:ascii="Arial" w:eastAsia="Arial" w:hAnsi="Arial" w:cs="Arial"/>
                <w:b/>
                <w:color w:val="000000"/>
                <w:sz w:val="28"/>
              </w:rPr>
              <w:t>Key Investor Information</w:t>
            </w:r>
          </w:p>
        </w:tc>
      </w:tr>
      <w:tr w:rsidR="0032425A" w14:paraId="103FD7C5" w14:textId="77777777">
        <w:trPr>
          <w:trHeight w:hRule="exact" w:val="737"/>
        </w:trPr>
        <w:tc>
          <w:tcPr>
            <w:tcW w:w="10544" w:type="dxa"/>
            <w:shd w:val="clear" w:color="auto" w:fill="auto"/>
            <w:noWrap/>
            <w:tcMar>
              <w:left w:w="56" w:type="dxa"/>
              <w:right w:w="56" w:type="dxa"/>
            </w:tcMar>
          </w:tcPr>
          <w:p w14:paraId="6CE45FE5" w14:textId="77777777" w:rsidR="0032425A" w:rsidRDefault="00ED14A1">
            <w:pPr>
              <w:keepLines/>
              <w:autoSpaceDE w:val="0"/>
              <w:autoSpaceDN w:val="0"/>
              <w:jc w:val="both"/>
            </w:pPr>
            <w:r>
              <w:rPr>
                <w:rFonts w:ascii="Arial" w:eastAsia="Arial" w:hAnsi="Arial" w:cs="Arial"/>
                <w:b/>
                <w:color w:val="000000"/>
                <w:sz w:val="16"/>
              </w:rPr>
              <w:t xml:space="preserve">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 </w:t>
            </w:r>
          </w:p>
        </w:tc>
      </w:tr>
    </w:tbl>
    <w:p w14:paraId="7C45528A" w14:textId="77777777" w:rsidR="0032425A" w:rsidRDefault="0032425A">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32425A" w14:paraId="650462D8" w14:textId="77777777">
        <w:trPr>
          <w:trHeight w:hRule="exact" w:val="340"/>
        </w:trPr>
        <w:tc>
          <w:tcPr>
            <w:tcW w:w="10544" w:type="dxa"/>
            <w:shd w:val="solid" w:color="C0C0C0" w:fill="auto"/>
            <w:tcMar>
              <w:left w:w="56" w:type="dxa"/>
              <w:right w:w="56" w:type="dxa"/>
            </w:tcMar>
            <w:vAlign w:val="center"/>
          </w:tcPr>
          <w:p w14:paraId="0A7C7E42" w14:textId="77777777" w:rsidR="0032425A" w:rsidRDefault="00ED14A1">
            <w:pPr>
              <w:keepNext/>
              <w:autoSpaceDE w:val="0"/>
              <w:autoSpaceDN w:val="0"/>
            </w:pPr>
            <w:r>
              <w:rPr>
                <w:rFonts w:ascii="Arial" w:eastAsia="Arial" w:hAnsi="Arial" w:cs="Arial"/>
                <w:b/>
                <w:color w:val="000000"/>
                <w:sz w:val="24"/>
              </w:rPr>
              <w:t>Sigma Select Global Leaders Fund</w:t>
            </w:r>
          </w:p>
        </w:tc>
      </w:tr>
      <w:tr w:rsidR="0032425A" w14:paraId="609A5914" w14:textId="77777777">
        <w:trPr>
          <w:trHeight w:hRule="exact" w:val="170"/>
        </w:trPr>
        <w:tc>
          <w:tcPr>
            <w:tcW w:w="10544" w:type="dxa"/>
            <w:shd w:val="solid" w:color="C0C0C0" w:fill="auto"/>
            <w:tcMar>
              <w:left w:w="56" w:type="dxa"/>
              <w:right w:w="56" w:type="dxa"/>
            </w:tcMar>
          </w:tcPr>
          <w:p w14:paraId="7450F380" w14:textId="77777777" w:rsidR="0032425A" w:rsidRDefault="00ED14A1">
            <w:pPr>
              <w:keepNext/>
              <w:autoSpaceDE w:val="0"/>
              <w:autoSpaceDN w:val="0"/>
              <w:spacing w:before="3"/>
            </w:pPr>
            <w:r>
              <w:rPr>
                <w:rFonts w:ascii="Arial" w:eastAsia="Arial" w:hAnsi="Arial" w:cs="Arial"/>
                <w:b/>
                <w:color w:val="000000"/>
                <w:sz w:val="16"/>
              </w:rPr>
              <w:t>a sub-Fund of PRESCIENT GLOBAL FUNDS ICAV ("THE ICAV")</w:t>
            </w:r>
          </w:p>
        </w:tc>
      </w:tr>
      <w:tr w:rsidR="0032425A" w14:paraId="003DB8D8" w14:textId="77777777">
        <w:trPr>
          <w:trHeight w:hRule="exact" w:val="28"/>
        </w:trPr>
        <w:tc>
          <w:tcPr>
            <w:tcW w:w="10544" w:type="dxa"/>
            <w:shd w:val="solid" w:color="C0C0C0" w:fill="auto"/>
            <w:tcMar>
              <w:left w:w="56" w:type="dxa"/>
              <w:right w:w="56" w:type="dxa"/>
            </w:tcMar>
            <w:vAlign w:val="center"/>
          </w:tcPr>
          <w:p w14:paraId="1C583D8B" w14:textId="77777777" w:rsidR="0032425A" w:rsidRDefault="0032425A">
            <w:pPr>
              <w:keepNext/>
              <w:autoSpaceDE w:val="0"/>
              <w:autoSpaceDN w:val="0"/>
              <w:rPr>
                <w:rFonts w:ascii="Arial" w:eastAsia="Arial" w:hAnsi="Arial" w:cs="Arial"/>
                <w:b/>
                <w:color w:val="000000"/>
                <w:sz w:val="16"/>
              </w:rPr>
            </w:pPr>
          </w:p>
        </w:tc>
      </w:tr>
      <w:tr w:rsidR="0032425A" w14:paraId="3394C3E6" w14:textId="77777777">
        <w:trPr>
          <w:trHeight w:hRule="exact" w:val="226"/>
        </w:trPr>
        <w:tc>
          <w:tcPr>
            <w:tcW w:w="10544" w:type="dxa"/>
            <w:shd w:val="solid" w:color="D9D9D9" w:fill="auto"/>
            <w:tcMar>
              <w:left w:w="56" w:type="dxa"/>
              <w:right w:w="56" w:type="dxa"/>
            </w:tcMar>
            <w:vAlign w:val="center"/>
          </w:tcPr>
          <w:p w14:paraId="5AE8E48C" w14:textId="77777777" w:rsidR="0032425A" w:rsidRDefault="00ED14A1">
            <w:pPr>
              <w:keepNext/>
              <w:autoSpaceDE w:val="0"/>
              <w:autoSpaceDN w:val="0"/>
            </w:pPr>
            <w:r>
              <w:rPr>
                <w:rFonts w:ascii="Arial" w:eastAsia="Arial" w:hAnsi="Arial" w:cs="Arial"/>
                <w:b/>
                <w:color w:val="000000"/>
                <w:sz w:val="16"/>
              </w:rPr>
              <w:t>ISIN: IE00BJDQ3M09 , Share Class: A USD</w:t>
            </w:r>
          </w:p>
        </w:tc>
      </w:tr>
      <w:tr w:rsidR="0032425A" w14:paraId="52A635E5" w14:textId="77777777">
        <w:trPr>
          <w:trHeight w:hRule="exact" w:val="226"/>
        </w:trPr>
        <w:tc>
          <w:tcPr>
            <w:tcW w:w="10544" w:type="dxa"/>
            <w:shd w:val="solid" w:color="D9D9D9" w:fill="auto"/>
            <w:tcMar>
              <w:left w:w="56" w:type="dxa"/>
              <w:right w:w="56" w:type="dxa"/>
            </w:tcMar>
            <w:vAlign w:val="bottom"/>
          </w:tcPr>
          <w:p w14:paraId="6D2C2C23" w14:textId="77777777" w:rsidR="0032425A" w:rsidRDefault="00ED14A1">
            <w:pPr>
              <w:keepNext/>
              <w:autoSpaceDE w:val="0"/>
              <w:autoSpaceDN w:val="0"/>
            </w:pPr>
            <w:r>
              <w:rPr>
                <w:rFonts w:ascii="Arial" w:eastAsia="Arial" w:hAnsi="Arial" w:cs="Arial"/>
                <w:b/>
                <w:color w:val="000000"/>
                <w:sz w:val="16"/>
              </w:rPr>
              <w:t>This Fund is managed by Prescient Fund Services (Ireland) Limited (The "Manager")</w:t>
            </w:r>
          </w:p>
        </w:tc>
      </w:tr>
      <w:tr w:rsidR="0032425A" w14:paraId="23BF97B7" w14:textId="77777777">
        <w:trPr>
          <w:trHeight w:hRule="exact" w:val="311"/>
        </w:trPr>
        <w:tc>
          <w:tcPr>
            <w:tcW w:w="10544" w:type="dxa"/>
            <w:shd w:val="clear" w:color="auto" w:fill="auto"/>
            <w:tcMar>
              <w:left w:w="56" w:type="dxa"/>
              <w:right w:w="56" w:type="dxa"/>
            </w:tcMar>
            <w:vAlign w:val="center"/>
          </w:tcPr>
          <w:p w14:paraId="4D6E83B5" w14:textId="77777777" w:rsidR="0032425A" w:rsidRDefault="0032425A">
            <w:pPr>
              <w:autoSpaceDE w:val="0"/>
              <w:autoSpaceDN w:val="0"/>
              <w:rPr>
                <w:rFonts w:ascii="Arial" w:eastAsia="Arial" w:hAnsi="Arial" w:cs="Arial"/>
                <w:b/>
                <w:color w:val="000000"/>
                <w:sz w:val="16"/>
              </w:rPr>
            </w:pPr>
          </w:p>
        </w:tc>
      </w:tr>
    </w:tbl>
    <w:p w14:paraId="082BFC9C" w14:textId="77777777" w:rsidR="0032425A" w:rsidRDefault="0032425A">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32425A" w14:paraId="387B91D5"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1A8697D5" w14:textId="77777777" w:rsidR="0032425A" w:rsidRDefault="00ED14A1">
            <w:pPr>
              <w:autoSpaceDE w:val="0"/>
              <w:autoSpaceDN w:val="0"/>
            </w:pPr>
            <w:r>
              <w:rPr>
                <w:rFonts w:ascii="Arial" w:eastAsia="Arial" w:hAnsi="Arial" w:cs="Arial"/>
                <w:b/>
                <w:color w:val="000000"/>
                <w:sz w:val="18"/>
              </w:rPr>
              <w:t>Objectives and Investment Policy</w:t>
            </w:r>
          </w:p>
        </w:tc>
      </w:tr>
    </w:tbl>
    <w:p w14:paraId="77966ED8" w14:textId="77777777" w:rsidR="0032425A" w:rsidRDefault="0032425A">
      <w:pPr>
        <w:autoSpaceDE w:val="0"/>
        <w:autoSpaceDN w:val="0"/>
        <w:rPr>
          <w:sz w:val="2"/>
          <w:szCs w:val="2"/>
        </w:rPr>
        <w:sectPr w:rsidR="0032425A">
          <w:headerReference w:type="default" r:id="rId7"/>
          <w:footerReference w:type="default" r:id="rId8"/>
          <w:footnotePr>
            <w:numRestart w:val="eachSect"/>
          </w:footnotePr>
          <w:pgSz w:w="11905" w:h="16837"/>
          <w:pgMar w:top="0" w:right="793" w:bottom="0" w:left="566" w:header="0" w:footer="0" w:gutter="0"/>
          <w:cols w:space="0"/>
        </w:sectPr>
      </w:pPr>
    </w:p>
    <w:p w14:paraId="612745D5" w14:textId="77777777" w:rsidR="0032425A" w:rsidRDefault="00ED14A1">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The Fund has as its primary objective to outperform the MSCI All Country World Index (the "Benchmark"), which is a free float-adjusted market capitalisation index that is designed to measure developed- market equity performance throughout the world.</w:t>
      </w:r>
    </w:p>
    <w:p w14:paraId="3AAEF5D7" w14:textId="77777777" w:rsidR="0032425A" w:rsidRDefault="00ED14A1">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6519FD70" w14:textId="77777777" w:rsidR="0032425A" w:rsidRDefault="00ED14A1">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To achieve its objective, the Fund will invest up to 100% of its net assets in global equities, primarily through collective investment schemes and/or managed accounts. The Fund may also gain direct exposure to equity and equity-related securities such as common stock, preference shares and convertible preference shares, which are listed or traded on Recognised Exchanges.</w:t>
      </w:r>
    </w:p>
    <w:p w14:paraId="311CA4B4" w14:textId="77777777" w:rsidR="0032425A" w:rsidRDefault="00ED14A1">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32E76043" w14:textId="77777777" w:rsidR="0032425A" w:rsidRDefault="00ED14A1">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may invest up to 100% of its Net Asset Value in UCITS and alternative investment funds, in accordance with the requirements of the Central Bank to gain exposure to global equity markets.</w:t>
      </w:r>
    </w:p>
    <w:p w14:paraId="7164C021" w14:textId="77777777" w:rsidR="0032425A" w:rsidRDefault="00ED14A1">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412BB15E" w14:textId="77777777" w:rsidR="0032425A" w:rsidRDefault="00ED14A1">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may also gain exposure to global equity markets by utilising segregated accounts (i.e. managed accounts), which are managed by discretionary investment managers selected and appointed by the Investment Manager as sub-investment managers in accordance with the requirements of the Central Bank.</w:t>
      </w:r>
    </w:p>
    <w:p w14:paraId="444034E5" w14:textId="77777777" w:rsidR="0032425A" w:rsidRDefault="00ED14A1">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6E3A158C" w14:textId="77777777" w:rsidR="0032425A" w:rsidRDefault="00ED14A1">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collective investment schemes and managed accounts referred to above are selected upon the completion of a thorough due diligence process, which will include both qualitative (i.e analysis that uses subjective judgment based on unquantifiable information, such as management expertise, industry cycles, strength of research and development, and the staff's skillset) and quantitative analyses.(i.e focusing on the historic performance and other quantifiable metrics).</w:t>
      </w:r>
    </w:p>
    <w:p w14:paraId="45598C54" w14:textId="77777777" w:rsidR="0032425A" w:rsidRDefault="00ED14A1">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17693EB8" w14:textId="77777777" w:rsidR="0032425A" w:rsidRDefault="00ED14A1">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may also invest directly in global currencies for the purposes of diversification.</w:t>
      </w:r>
    </w:p>
    <w:p w14:paraId="3B97E845" w14:textId="77777777" w:rsidR="0032425A" w:rsidRDefault="00ED14A1">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4DB66739" w14:textId="77777777" w:rsidR="0032425A" w:rsidRDefault="00ED14A1">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xml:space="preserve">The Fund may also from time to time hold ancillary liquid financial assets including debt securities (e.g. government, municipal, corporate </w:t>
      </w:r>
      <w:r>
        <w:rPr>
          <w:rFonts w:ascii="Arial" w:eastAsia="Arial" w:hAnsi="Arial" w:cs="Arial"/>
          <w:color w:val="000000"/>
          <w:sz w:val="16"/>
          <w:szCs w:val="16"/>
        </w:rPr>
        <w:t>and securitized debt and money market instruments) in appropriate circumstances. Such debt securities may be issued by governments or corporations and will have a credit rating or an implied credit rating of investment grade. The Fund may also invest up to 10% in debt securities which are unrated.</w:t>
      </w:r>
    </w:p>
    <w:p w14:paraId="69A2CC79" w14:textId="77777777" w:rsidR="0032425A" w:rsidRDefault="00ED14A1">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258B24D6" w14:textId="77777777" w:rsidR="0032425A" w:rsidRDefault="00ED14A1">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6610E847" w14:textId="77777777" w:rsidR="0032425A" w:rsidRDefault="00ED14A1">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The Fund will invest on a global basis and can invest in both developed and developing markets. The Fund may invest more than 20% of its net assets in securities listed or traded in, or issuers domiciled in, emerging markets. The Fund is actively managed in reference to MSCI All Coutnry World Index by virtue of the fact that the investment objective of the Fund is to outperform. The Investment Manager has discretion to invest in securities not included in the Benchmark at any time in order to take advantage of investment opportunities. The investment strategy will restrict the extent to which the Fund's holdings may deviate from the Benchmark. This deviation may be limited. The Fund will not use financial derivative instruments. Any income arising from the Fund will be reinvested and it is not intended that the Fund will pay dividends. The Fund employs a long-term investment approach and is suitable for investors who have a medium to high risk profile.</w:t>
      </w:r>
    </w:p>
    <w:p w14:paraId="31ABD106" w14:textId="77777777" w:rsidR="0032425A" w:rsidRDefault="00ED14A1">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277E95DE" w14:textId="77777777" w:rsidR="0032425A" w:rsidRDefault="00ED14A1">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Recommendation: The Fund may not be suitable for investors who plan to withdraw their money within 5 years.</w:t>
      </w:r>
    </w:p>
    <w:p w14:paraId="3E483273" w14:textId="77777777" w:rsidR="0032425A" w:rsidRDefault="00ED14A1">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72C44695" w14:textId="77777777" w:rsidR="0032425A" w:rsidRDefault="00ED14A1">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You may buy and sell shares in the Fund every Thursday.</w:t>
      </w:r>
    </w:p>
    <w:p w14:paraId="6ED4B60A" w14:textId="77777777" w:rsidR="0032425A" w:rsidRDefault="00ED14A1">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 </w:t>
      </w:r>
    </w:p>
    <w:p w14:paraId="71589DD5" w14:textId="77777777" w:rsidR="0032425A" w:rsidRDefault="00ED14A1">
      <w:pPr>
        <w:autoSpaceDE w:val="0"/>
        <w:autoSpaceDN w:val="0"/>
        <w:jc w:val="both"/>
        <w:rPr>
          <w:rFonts w:ascii="Arial" w:eastAsia="Arial" w:hAnsi="Arial" w:cs="Arial"/>
          <w:color w:val="000000"/>
          <w:sz w:val="16"/>
          <w:szCs w:val="16"/>
        </w:rPr>
      </w:pPr>
      <w:r>
        <w:rPr>
          <w:rFonts w:ascii="Arial" w:eastAsia="Arial" w:hAnsi="Arial" w:cs="Arial"/>
          <w:color w:val="000000"/>
          <w:sz w:val="16"/>
          <w:szCs w:val="16"/>
        </w:rPr>
        <w:t>Unless otherwise defined in this document, all words and expressions defined in the Prospectus shall have the same meaning herein. Please refer to the "Investment Objectives and Policies" section of the Prospectus and the "Investment objective and policy" section of the Supplement for further information.</w:t>
      </w:r>
    </w:p>
    <w:p w14:paraId="6FABEC7D" w14:textId="77777777" w:rsidR="0032425A" w:rsidRDefault="0032425A">
      <w:pPr>
        <w:autoSpaceDE w:val="0"/>
        <w:autoSpaceDN w:val="0"/>
        <w:jc w:val="both"/>
        <w:rPr>
          <w:rFonts w:ascii="Arial" w:eastAsia="Arial" w:hAnsi="Arial" w:cs="Arial"/>
          <w:color w:val="000000"/>
          <w:sz w:val="16"/>
          <w:szCs w:val="16"/>
        </w:rPr>
        <w:sectPr w:rsidR="0032425A">
          <w:type w:val="continuous"/>
          <w:pgSz w:w="11905" w:h="16837"/>
          <w:pgMar w:top="0" w:right="793" w:bottom="0" w:left="566" w:header="0" w:footer="0" w:gutter="0"/>
          <w:cols w:num="2" w:space="510"/>
        </w:sect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32425A" w14:paraId="55E2CA9D" w14:textId="77777777">
        <w:trPr>
          <w:trHeight w:hRule="exact" w:val="283"/>
        </w:trPr>
        <w:tc>
          <w:tcPr>
            <w:tcW w:w="10544" w:type="dxa"/>
            <w:shd w:val="clear" w:color="auto" w:fill="auto"/>
            <w:noWrap/>
            <w:tcMar>
              <w:left w:w="20" w:type="dxa"/>
              <w:right w:w="20" w:type="dxa"/>
            </w:tcMar>
          </w:tcPr>
          <w:p w14:paraId="319C57D8" w14:textId="77777777" w:rsidR="0032425A" w:rsidRDefault="0032425A">
            <w:pPr>
              <w:autoSpaceDE w:val="0"/>
              <w:autoSpaceDN w:val="0"/>
              <w:rPr>
                <w:rFonts w:ascii="Arial" w:eastAsia="Arial" w:hAnsi="Arial" w:cs="Arial"/>
                <w:color w:val="000000"/>
                <w:sz w:val="18"/>
              </w:rPr>
            </w:pPr>
          </w:p>
        </w:tc>
      </w:tr>
    </w:tbl>
    <w:p w14:paraId="7883DE5F" w14:textId="77777777" w:rsidR="0032425A" w:rsidRDefault="0032425A">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32425A" w14:paraId="1839BCB3"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75F6CD95" w14:textId="77777777" w:rsidR="0032425A" w:rsidRDefault="00ED14A1">
            <w:pPr>
              <w:keepNext/>
              <w:autoSpaceDE w:val="0"/>
              <w:autoSpaceDN w:val="0"/>
            </w:pPr>
            <w:r>
              <w:rPr>
                <w:rFonts w:ascii="Arial" w:eastAsia="Arial" w:hAnsi="Arial" w:cs="Arial"/>
                <w:b/>
                <w:color w:val="000000"/>
                <w:sz w:val="18"/>
              </w:rPr>
              <w:t>Risk and Reward Profile of the Fund</w:t>
            </w:r>
          </w:p>
        </w:tc>
      </w:tr>
      <w:tr w:rsidR="0032425A" w14:paraId="422C91C1" w14:textId="77777777">
        <w:trPr>
          <w:trHeight w:hRule="exact" w:val="226"/>
        </w:trPr>
        <w:tc>
          <w:tcPr>
            <w:tcW w:w="10544" w:type="dxa"/>
            <w:shd w:val="clear" w:color="auto" w:fill="auto"/>
            <w:noWrap/>
            <w:tcMar>
              <w:left w:w="20" w:type="dxa"/>
              <w:right w:w="20" w:type="dxa"/>
            </w:tcMar>
          </w:tcPr>
          <w:p w14:paraId="7A08E455" w14:textId="77777777" w:rsidR="0032425A" w:rsidRDefault="0032425A">
            <w:pPr>
              <w:autoSpaceDE w:val="0"/>
              <w:autoSpaceDN w:val="0"/>
              <w:rPr>
                <w:rFonts w:ascii="Arial" w:eastAsia="Arial" w:hAnsi="Arial" w:cs="Arial"/>
                <w:color w:val="000000"/>
                <w:sz w:val="18"/>
              </w:rPr>
            </w:pPr>
          </w:p>
        </w:tc>
      </w:tr>
    </w:tbl>
    <w:p w14:paraId="42E08323" w14:textId="77777777" w:rsidR="0032425A" w:rsidRDefault="0032425A">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32425A" w14:paraId="5615FB2D" w14:textId="77777777">
        <w:trPr>
          <w:cantSplit/>
        </w:trPr>
        <w:tc>
          <w:tcPr>
            <w:tcW w:w="5017" w:type="dxa"/>
          </w:tcPr>
          <w:tbl>
            <w:tblPr>
              <w:tblW w:w="4988" w:type="dxa"/>
              <w:tblLayout w:type="fixed"/>
              <w:tblCellMar>
                <w:left w:w="0" w:type="dxa"/>
                <w:right w:w="0" w:type="dxa"/>
              </w:tblCellMar>
              <w:tblLook w:val="04A0" w:firstRow="1" w:lastRow="0" w:firstColumn="1" w:lastColumn="0" w:noHBand="0" w:noVBand="1"/>
            </w:tblPr>
            <w:tblGrid>
              <w:gridCol w:w="712"/>
              <w:gridCol w:w="712"/>
              <w:gridCol w:w="712"/>
              <w:gridCol w:w="713"/>
              <w:gridCol w:w="713"/>
              <w:gridCol w:w="713"/>
              <w:gridCol w:w="713"/>
            </w:tblGrid>
            <w:tr w:rsidR="0032425A" w14:paraId="20624AD6" w14:textId="77777777">
              <w:trPr>
                <w:trHeight w:hRule="exact" w:val="1077"/>
              </w:trPr>
              <w:tc>
                <w:tcPr>
                  <w:tcW w:w="4984" w:type="dxa"/>
                  <w:gridSpan w:val="7"/>
                  <w:tcBorders>
                    <w:bottom w:val="single" w:sz="4" w:space="0" w:color="000000"/>
                  </w:tcBorders>
                  <w:shd w:val="clear" w:color="auto" w:fill="auto"/>
                  <w:noWrap/>
                  <w:tcMar>
                    <w:left w:w="1" w:type="dxa"/>
                  </w:tcMar>
                  <w:vAlign w:val="center"/>
                </w:tcPr>
                <w:p w14:paraId="3A13B061" w14:textId="77777777" w:rsidR="0032425A" w:rsidRDefault="00ED14A1">
                  <w:pPr>
                    <w:keepLines/>
                    <w:autoSpaceDE w:val="0"/>
                    <w:autoSpaceDN w:val="0"/>
                    <w:jc w:val="center"/>
                  </w:pPr>
                  <w:r>
                    <w:rPr>
                      <w:rFonts w:ascii="Arial" w:eastAsia="Arial" w:hAnsi="Arial" w:cs="Arial"/>
                      <w:noProof/>
                      <w:color w:val="000000"/>
                      <w:sz w:val="16"/>
                    </w:rPr>
                    <w:drawing>
                      <wp:inline distT="0" distB="0" distL="0" distR="0" wp14:anchorId="2B80F54C" wp14:editId="0D4F390F">
                        <wp:extent cx="2833554" cy="576072"/>
                        <wp:effectExtent l="0" t="0" r="0" b="0"/>
                        <wp:docPr id="10001" name="Picture10001" descr="Risk_Reward_Image.png" title="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 name="Risk_Reward_Image.png" descr="Risk_Reward_Imag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a:fillRect/>
                                </a:stretch>
                              </pic:blipFill>
                              <pic:spPr bwMode="auto">
                                <a:xfrm>
                                  <a:off x="0" y="0"/>
                                  <a:ext cx="2833554" cy="576072"/>
                                </a:xfrm>
                                <a:prstGeom prst="rect">
                                  <a:avLst/>
                                </a:prstGeom>
                                <a:noFill/>
                                <a:ln>
                                  <a:noFill/>
                                </a:ln>
                              </pic:spPr>
                            </pic:pic>
                          </a:graphicData>
                        </a:graphic>
                      </wp:inline>
                    </w:drawing>
                  </w:r>
                </w:p>
              </w:tc>
            </w:tr>
            <w:tr w:rsidR="0032425A" w14:paraId="60696939" w14:textId="77777777" w:rsidTr="005A5CD6">
              <w:trPr>
                <w:trHeight w:hRule="exact" w:val="368"/>
              </w:trPr>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tcMar>
                  <w:vAlign w:val="center"/>
                </w:tcPr>
                <w:p w14:paraId="75DDC629" w14:textId="77777777" w:rsidR="0032425A" w:rsidRDefault="00ED14A1">
                  <w:pPr>
                    <w:autoSpaceDE w:val="0"/>
                    <w:autoSpaceDN w:val="0"/>
                    <w:jc w:val="center"/>
                  </w:pPr>
                  <w:r>
                    <w:rPr>
                      <w:rFonts w:ascii="Arial" w:eastAsia="Arial" w:hAnsi="Arial" w:cs="Arial"/>
                      <w:color w:val="C0C0C0"/>
                    </w:rPr>
                    <w:t>1</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58080B9A" w14:textId="77777777" w:rsidR="0032425A" w:rsidRDefault="00ED14A1">
                  <w:pPr>
                    <w:autoSpaceDE w:val="0"/>
                    <w:autoSpaceDN w:val="0"/>
                    <w:jc w:val="center"/>
                  </w:pPr>
                  <w:r>
                    <w:rPr>
                      <w:rFonts w:ascii="Arial" w:eastAsia="Arial" w:hAnsi="Arial" w:cs="Arial"/>
                      <w:color w:val="C0C0C0"/>
                    </w:rPr>
                    <w:t>2</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47B204C3" w14:textId="77777777" w:rsidR="0032425A" w:rsidRDefault="00ED14A1">
                  <w:pPr>
                    <w:autoSpaceDE w:val="0"/>
                    <w:autoSpaceDN w:val="0"/>
                    <w:jc w:val="center"/>
                  </w:pPr>
                  <w:r>
                    <w:rPr>
                      <w:rFonts w:ascii="Arial" w:eastAsia="Arial" w:hAnsi="Arial" w:cs="Arial"/>
                      <w:color w:val="C0C0C0"/>
                    </w:rPr>
                    <w:t>3</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136D834F" w14:textId="77777777" w:rsidR="0032425A" w:rsidRDefault="00ED14A1">
                  <w:pPr>
                    <w:autoSpaceDE w:val="0"/>
                    <w:autoSpaceDN w:val="0"/>
                    <w:jc w:val="center"/>
                  </w:pPr>
                  <w:r>
                    <w:rPr>
                      <w:rFonts w:ascii="Arial" w:eastAsia="Arial" w:hAnsi="Arial" w:cs="Arial"/>
                      <w:color w:val="C0C0C0"/>
                    </w:rPr>
                    <w:t>4</w:t>
                  </w:r>
                </w:p>
              </w:tc>
              <w:tc>
                <w:tcPr>
                  <w:tcW w:w="712" w:type="dxa"/>
                  <w:tcBorders>
                    <w:top w:val="single" w:sz="4" w:space="0" w:color="000000"/>
                    <w:left w:val="single" w:sz="4" w:space="0" w:color="000000"/>
                    <w:bottom w:val="single" w:sz="4" w:space="0" w:color="000000"/>
                    <w:right w:val="single" w:sz="4" w:space="0" w:color="000000"/>
                  </w:tcBorders>
                  <w:shd w:val="clear" w:color="auto" w:fill="FFFFFF" w:themeFill="background1"/>
                  <w:noWrap/>
                  <w:tcMar>
                    <w:left w:w="56" w:type="dxa"/>
                    <w:right w:w="56" w:type="dxa"/>
                  </w:tcMar>
                  <w:vAlign w:val="center"/>
                </w:tcPr>
                <w:p w14:paraId="6B5338B3" w14:textId="77777777" w:rsidR="0032425A" w:rsidRDefault="00ED14A1">
                  <w:pPr>
                    <w:autoSpaceDE w:val="0"/>
                    <w:autoSpaceDN w:val="0"/>
                    <w:jc w:val="center"/>
                  </w:pPr>
                  <w:r w:rsidRPr="005A5CD6">
                    <w:rPr>
                      <w:rFonts w:ascii="Arial" w:eastAsia="Arial" w:hAnsi="Arial" w:cs="Arial"/>
                      <w:b/>
                      <w:color w:val="BFBFBF" w:themeColor="background1" w:themeShade="BF"/>
                    </w:rPr>
                    <w:t>5</w:t>
                  </w:r>
                </w:p>
              </w:tc>
              <w:tc>
                <w:tcPr>
                  <w:tcW w:w="7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tcMar>
                    <w:left w:w="56" w:type="dxa"/>
                    <w:right w:w="56" w:type="dxa"/>
                  </w:tcMar>
                  <w:vAlign w:val="center"/>
                </w:tcPr>
                <w:p w14:paraId="72B32469" w14:textId="77777777" w:rsidR="0032425A" w:rsidRPr="005A5CD6" w:rsidRDefault="00ED14A1">
                  <w:pPr>
                    <w:autoSpaceDE w:val="0"/>
                    <w:autoSpaceDN w:val="0"/>
                    <w:jc w:val="center"/>
                    <w:rPr>
                      <w:b/>
                      <w:bCs/>
                    </w:rPr>
                  </w:pPr>
                  <w:r w:rsidRPr="005A5CD6">
                    <w:rPr>
                      <w:rFonts w:ascii="Arial" w:eastAsia="Arial" w:hAnsi="Arial" w:cs="Arial"/>
                      <w:b/>
                      <w:bCs/>
                    </w:rPr>
                    <w:t>6</w:t>
                  </w:r>
                </w:p>
              </w:tc>
              <w:tc>
                <w:tcPr>
                  <w:tcW w:w="712" w:type="dxa"/>
                  <w:tcBorders>
                    <w:top w:val="single" w:sz="4" w:space="0" w:color="000000"/>
                    <w:left w:val="single" w:sz="4" w:space="0" w:color="000000"/>
                    <w:bottom w:val="single" w:sz="4" w:space="0" w:color="000000"/>
                    <w:right w:val="single" w:sz="4" w:space="0" w:color="000000"/>
                  </w:tcBorders>
                  <w:shd w:val="clear" w:color="auto" w:fill="auto"/>
                  <w:noWrap/>
                  <w:tcMar>
                    <w:left w:w="56" w:type="dxa"/>
                    <w:right w:w="56" w:type="dxa"/>
                  </w:tcMar>
                  <w:vAlign w:val="center"/>
                </w:tcPr>
                <w:p w14:paraId="5D88B3DF" w14:textId="77777777" w:rsidR="0032425A" w:rsidRDefault="00ED14A1">
                  <w:pPr>
                    <w:autoSpaceDE w:val="0"/>
                    <w:autoSpaceDN w:val="0"/>
                    <w:jc w:val="center"/>
                  </w:pPr>
                  <w:r>
                    <w:rPr>
                      <w:rFonts w:ascii="Arial" w:eastAsia="Arial" w:hAnsi="Arial" w:cs="Arial"/>
                      <w:color w:val="C0C0C0"/>
                    </w:rPr>
                    <w:t>7</w:t>
                  </w:r>
                </w:p>
              </w:tc>
            </w:tr>
            <w:tr w:rsidR="0032425A" w14:paraId="7AF9322D" w14:textId="77777777">
              <w:tc>
                <w:tcPr>
                  <w:tcW w:w="4984" w:type="dxa"/>
                  <w:gridSpan w:val="7"/>
                  <w:shd w:val="clear" w:color="auto" w:fill="auto"/>
                  <w:noWrap/>
                  <w:tcMar>
                    <w:left w:w="56" w:type="dxa"/>
                  </w:tcMar>
                  <w:vAlign w:val="center"/>
                </w:tcPr>
                <w:p w14:paraId="46F6892C" w14:textId="77777777" w:rsidR="0032425A" w:rsidRDefault="0032425A">
                  <w:pPr>
                    <w:autoSpaceDE w:val="0"/>
                    <w:autoSpaceDN w:val="0"/>
                    <w:jc w:val="both"/>
                    <w:rPr>
                      <w:rFonts w:ascii="Arial" w:eastAsia="Arial" w:hAnsi="Arial" w:cs="Arial"/>
                      <w:color w:val="C0C0C0"/>
                      <w:sz w:val="16"/>
                    </w:rPr>
                  </w:pPr>
                </w:p>
              </w:tc>
            </w:tr>
            <w:tr w:rsidR="0032425A" w14:paraId="3259BA52" w14:textId="77777777">
              <w:tc>
                <w:tcPr>
                  <w:tcW w:w="4984" w:type="dxa"/>
                  <w:gridSpan w:val="7"/>
                  <w:shd w:val="clear" w:color="auto" w:fill="auto"/>
                  <w:noWrap/>
                  <w:tcMar>
                    <w:left w:w="56" w:type="dxa"/>
                  </w:tcMar>
                  <w:vAlign w:val="center"/>
                </w:tcPr>
                <w:p w14:paraId="4506D658" w14:textId="77777777" w:rsidR="0032425A" w:rsidRDefault="00ED14A1">
                  <w:pPr>
                    <w:keepLines/>
                    <w:autoSpaceDE w:val="0"/>
                    <w:autoSpaceDN w:val="0"/>
                  </w:pPr>
                  <w:r>
                    <w:rPr>
                      <w:rFonts w:ascii="Arial" w:eastAsia="Arial" w:hAnsi="Arial" w:cs="Arial"/>
                      <w:color w:val="000000"/>
                      <w:sz w:val="16"/>
                    </w:rPr>
                    <w:t>The indicator above is not a measure of the risk of capital loss, but a measure of the Fund's price movement over time.</w:t>
                  </w:r>
                  <w:r>
                    <w:rPr>
                      <w:rFonts w:ascii="Arial" w:eastAsia="Arial" w:hAnsi="Arial" w:cs="Arial"/>
                      <w:color w:val="000000"/>
                      <w:sz w:val="16"/>
                    </w:rPr>
                    <w:br/>
                  </w:r>
                  <w:r>
                    <w:rPr>
                      <w:rFonts w:ascii="Arial" w:eastAsia="Arial" w:hAnsi="Arial" w:cs="Arial"/>
                      <w:color w:val="000000"/>
                      <w:sz w:val="16"/>
                    </w:rPr>
                    <w:br/>
                    <w:t>• It is based on historical data and thus may not be a reliable indication for the future.</w:t>
                  </w:r>
                  <w:r>
                    <w:rPr>
                      <w:rFonts w:ascii="Arial" w:eastAsia="Arial" w:hAnsi="Arial" w:cs="Arial"/>
                      <w:color w:val="000000"/>
                      <w:sz w:val="16"/>
                    </w:rPr>
                    <w:br/>
                  </w:r>
                  <w:r>
                    <w:rPr>
                      <w:rFonts w:ascii="Arial" w:eastAsia="Arial" w:hAnsi="Arial" w:cs="Arial"/>
                      <w:color w:val="000000"/>
                      <w:sz w:val="16"/>
                    </w:rPr>
                    <w:br/>
                    <w:t>• The indicated risk category is not guaranteed and may shift over time.</w:t>
                  </w:r>
                  <w:r>
                    <w:rPr>
                      <w:rFonts w:ascii="Arial" w:eastAsia="Arial" w:hAnsi="Arial" w:cs="Arial"/>
                      <w:color w:val="000000"/>
                      <w:sz w:val="16"/>
                    </w:rPr>
                    <w:br/>
                  </w:r>
                  <w:r>
                    <w:rPr>
                      <w:rFonts w:ascii="Arial" w:eastAsia="Arial" w:hAnsi="Arial" w:cs="Arial"/>
                      <w:color w:val="000000"/>
                      <w:sz w:val="16"/>
                    </w:rPr>
                    <w:br/>
                    <w:t>• The indicator is designed to help investors understand the uncertainties both for loss and for growth that may affect their investment.  In this context, the lowest category does not mean "risk free".</w:t>
                  </w:r>
                  <w:r>
                    <w:rPr>
                      <w:rFonts w:ascii="Arial" w:eastAsia="Arial" w:hAnsi="Arial" w:cs="Arial"/>
                      <w:color w:val="000000"/>
                      <w:sz w:val="16"/>
                    </w:rPr>
                    <w:br/>
                  </w:r>
                  <w:r>
                    <w:rPr>
                      <w:rFonts w:ascii="Arial" w:eastAsia="Arial" w:hAnsi="Arial" w:cs="Arial"/>
                      <w:color w:val="000000"/>
                      <w:sz w:val="16"/>
                    </w:rPr>
                    <w:br/>
                    <w:t>• The Fund is classified in the category indicated above due to the past behaviour of it's its target asset mix.</w:t>
                  </w:r>
                  <w:r>
                    <w:rPr>
                      <w:rFonts w:ascii="Arial" w:eastAsia="Arial" w:hAnsi="Arial" w:cs="Arial"/>
                      <w:color w:val="000000"/>
                      <w:sz w:val="16"/>
                    </w:rPr>
                    <w:br/>
                  </w:r>
                  <w:r>
                    <w:rPr>
                      <w:rFonts w:ascii="Arial" w:eastAsia="Arial" w:hAnsi="Arial" w:cs="Arial"/>
                      <w:color w:val="000000"/>
                      <w:sz w:val="16"/>
                    </w:rPr>
                    <w:br/>
                    <w:t>• The Fund does not provide its investors with any guarantee on performance, nor on the monies invested in it.</w:t>
                  </w:r>
                </w:p>
              </w:tc>
            </w:tr>
          </w:tbl>
          <w:p w14:paraId="374DB927" w14:textId="77777777" w:rsidR="0032425A" w:rsidRDefault="0032425A">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32425A" w14:paraId="07FC7626" w14:textId="77777777">
              <w:trPr>
                <w:trHeight w:hRule="exact" w:val="170"/>
              </w:trPr>
              <w:tc>
                <w:tcPr>
                  <w:tcW w:w="510" w:type="dxa"/>
                  <w:shd w:val="clear" w:color="auto" w:fill="auto"/>
                  <w:noWrap/>
                  <w:tcMar>
                    <w:left w:w="20" w:type="dxa"/>
                    <w:right w:w="20" w:type="dxa"/>
                  </w:tcMar>
                </w:tcPr>
                <w:p w14:paraId="3BC4CD15" w14:textId="77777777" w:rsidR="0032425A" w:rsidRDefault="0032425A">
                  <w:pPr>
                    <w:autoSpaceDE w:val="0"/>
                    <w:autoSpaceDN w:val="0"/>
                    <w:rPr>
                      <w:rFonts w:ascii="Arial" w:eastAsia="Arial" w:hAnsi="Arial" w:cs="Arial"/>
                      <w:color w:val="000000"/>
                      <w:sz w:val="18"/>
                    </w:rPr>
                  </w:pPr>
                </w:p>
              </w:tc>
            </w:tr>
          </w:tbl>
          <w:p w14:paraId="7B4D4945" w14:textId="77777777" w:rsidR="0032425A" w:rsidRDefault="0032425A">
            <w:pPr>
              <w:keepNext/>
              <w:autoSpaceDE w:val="0"/>
              <w:autoSpaceDN w:val="0"/>
              <w:rPr>
                <w:vanish/>
                <w:sz w:val="2"/>
                <w:szCs w:val="2"/>
              </w:rPr>
            </w:pPr>
          </w:p>
        </w:tc>
        <w:tc>
          <w:tcPr>
            <w:tcW w:w="5017" w:type="dxa"/>
          </w:tcPr>
          <w:p w14:paraId="5F00E87B" w14:textId="77777777" w:rsidR="0032425A" w:rsidRDefault="00ED14A1">
            <w:pPr>
              <w:keepLines/>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In addition to the risk captured by the indicator, the overall Fund value may be considerably affected by:</w:t>
            </w:r>
          </w:p>
          <w:p w14:paraId="40E39FCF" w14:textId="77777777" w:rsidR="0032425A" w:rsidRDefault="00ED14A1">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Credit Risk</w:t>
            </w:r>
            <w:r>
              <w:rPr>
                <w:rFonts w:ascii="Arial" w:eastAsia="Arial" w:hAnsi="Arial" w:cs="Arial"/>
                <w:color w:val="000000"/>
                <w:sz w:val="16"/>
                <w:szCs w:val="16"/>
              </w:rPr>
              <w:t xml:space="preserve"> - the Fund's fixed income and cash investments have the risk that a borrower will not honour its obligations and this will result in losses for the investor.</w:t>
            </w:r>
          </w:p>
          <w:p w14:paraId="77769BF7" w14:textId="77777777" w:rsidR="0032425A" w:rsidRDefault="00ED14A1">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Market Risk</w:t>
            </w:r>
            <w:r>
              <w:rPr>
                <w:rFonts w:ascii="Arial" w:eastAsia="Arial" w:hAnsi="Arial" w:cs="Arial"/>
                <w:color w:val="000000"/>
                <w:sz w:val="16"/>
                <w:szCs w:val="16"/>
              </w:rPr>
              <w:t xml:space="preserve"> - the Fund invests in units of collective investment schemes, and the value of these units can be negatively affected by changes in the fund or its industry or the economy in which it operates.</w:t>
            </w:r>
          </w:p>
          <w:p w14:paraId="1C4A55C8" w14:textId="77777777" w:rsidR="0032425A" w:rsidRDefault="00ED14A1">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Currency Risk</w:t>
            </w:r>
            <w:r>
              <w:rPr>
                <w:rFonts w:ascii="Arial" w:eastAsia="Arial" w:hAnsi="Arial" w:cs="Arial"/>
                <w:color w:val="000000"/>
                <w:sz w:val="16"/>
                <w:szCs w:val="16"/>
              </w:rPr>
              <w:t xml:space="preserve"> - the Fund may be exposed to currency risk in relation to the valuation of assets held in currencies other than USD.</w:t>
            </w:r>
          </w:p>
          <w:p w14:paraId="6AC9A7A8" w14:textId="77777777" w:rsidR="0032425A" w:rsidRDefault="00ED14A1">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Liquidity Risk</w:t>
            </w:r>
            <w:r>
              <w:rPr>
                <w:rFonts w:ascii="Arial" w:eastAsia="Arial" w:hAnsi="Arial" w:cs="Arial"/>
                <w:color w:val="000000"/>
                <w:sz w:val="16"/>
                <w:szCs w:val="16"/>
              </w:rPr>
              <w:t xml:space="preserve"> - the risk stemming from the lack of marketability of an investment that cannot be bought or sold quickly enough to prevent or minimise a loss.</w:t>
            </w:r>
          </w:p>
          <w:p w14:paraId="5531B53E" w14:textId="77777777" w:rsidR="0032425A" w:rsidRDefault="00ED14A1">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Operational Risk / Third Parties</w:t>
            </w:r>
            <w:r>
              <w:rPr>
                <w:rFonts w:ascii="Arial" w:eastAsia="Arial" w:hAnsi="Arial" w:cs="Arial"/>
                <w:color w:val="000000"/>
                <w:sz w:val="16"/>
                <w:szCs w:val="16"/>
              </w:rPr>
              <w:t xml:space="preserve"> - investments in other funds have direct and indirect dependence on other service providers. The Fund may suffer disruption or loss in the event of their failure.</w:t>
            </w:r>
          </w:p>
          <w:p w14:paraId="6F02E3DD" w14:textId="77777777" w:rsidR="0032425A" w:rsidRDefault="00ED14A1">
            <w:pPr>
              <w:keepLines/>
              <w:numPr>
                <w:ilvl w:val="0"/>
                <w:numId w:val="1"/>
              </w:numPr>
              <w:autoSpaceDE w:val="0"/>
              <w:autoSpaceDN w:val="0"/>
              <w:spacing w:after="60"/>
              <w:jc w:val="both"/>
              <w:rPr>
                <w:rFonts w:ascii="Arial" w:eastAsia="Arial" w:hAnsi="Arial" w:cs="Arial"/>
                <w:color w:val="000000"/>
                <w:sz w:val="16"/>
                <w:szCs w:val="16"/>
              </w:rPr>
            </w:pPr>
            <w:r>
              <w:rPr>
                <w:rFonts w:ascii="Arial" w:eastAsia="Arial" w:hAnsi="Arial" w:cs="Arial"/>
                <w:b/>
                <w:bCs/>
                <w:color w:val="000000"/>
                <w:sz w:val="16"/>
                <w:szCs w:val="16"/>
              </w:rPr>
              <w:t>Liquidity Risk (Fund of Funds)</w:t>
            </w:r>
            <w:r>
              <w:rPr>
                <w:rFonts w:ascii="Arial" w:eastAsia="Arial" w:hAnsi="Arial" w:cs="Arial"/>
                <w:color w:val="000000"/>
                <w:sz w:val="16"/>
                <w:szCs w:val="16"/>
              </w:rPr>
              <w:t xml:space="preserve"> - investments in other funds are subject to the liquidity of those underlying funds. If underlying funds suspend or defer payment of redemption proceeds, the funds ability to meet redemption requests may also be affected.</w:t>
            </w:r>
          </w:p>
          <w:p w14:paraId="5CEC750B" w14:textId="77777777" w:rsidR="0032425A" w:rsidRDefault="00ED14A1">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 </w:t>
            </w:r>
          </w:p>
          <w:p w14:paraId="7653063A" w14:textId="77777777" w:rsidR="0032425A" w:rsidRDefault="00ED14A1">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Please refer to the "Risk Factors" section of the Prospectus for further information - see under "Practical Information" for how to obtain a copy.</w:t>
            </w:r>
          </w:p>
          <w:p w14:paraId="6A22DA1A" w14:textId="77777777" w:rsidR="0032425A" w:rsidRDefault="0032425A">
            <w:pPr>
              <w:keepNext/>
              <w:autoSpaceDE w:val="0"/>
              <w:autoSpaceDN w:val="0"/>
              <w:rPr>
                <w:vanish/>
                <w:sz w:val="2"/>
                <w:szCs w:val="2"/>
              </w:rPr>
            </w:pPr>
          </w:p>
        </w:tc>
      </w:tr>
    </w:tbl>
    <w:p w14:paraId="2451BE1F" w14:textId="77777777" w:rsidR="0032425A" w:rsidRDefault="0032425A">
      <w:pPr>
        <w:autoSpaceDE w:val="0"/>
        <w:autoSpaceDN w:val="0"/>
        <w:rPr>
          <w:sz w:val="2"/>
          <w:szCs w:val="2"/>
        </w:rPr>
        <w:sectPr w:rsidR="0032425A">
          <w:type w:val="continuous"/>
          <w:pgSz w:w="11905" w:h="16837"/>
          <w:pgMar w:top="0" w:right="793" w:bottom="0" w:left="566" w:header="0" w:footer="0" w:gutter="0"/>
          <w:cols w:space="0"/>
        </w:sectPr>
      </w:pPr>
    </w:p>
    <w:p w14:paraId="6EF77DC1" w14:textId="77777777" w:rsidR="0032425A" w:rsidRDefault="0032425A">
      <w:pPr>
        <w:keepNext/>
        <w:autoSpaceDE w:val="0"/>
        <w:autoSpaceDN w:val="0"/>
        <w:rPr>
          <w:vanish/>
          <w:sz w:val="2"/>
          <w:szCs w:val="2"/>
        </w:rPr>
      </w:pPr>
      <w:bookmarkStart w:id="1" w:name="_Page_2_1"/>
      <w:bookmarkEnd w:id="1"/>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32425A" w14:paraId="4CE1B701"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27A054CB" w14:textId="77777777" w:rsidR="0032425A" w:rsidRDefault="00ED14A1">
            <w:pPr>
              <w:keepNext/>
              <w:autoSpaceDE w:val="0"/>
              <w:autoSpaceDN w:val="0"/>
            </w:pPr>
            <w:r>
              <w:rPr>
                <w:rFonts w:ascii="Arial" w:eastAsia="Arial" w:hAnsi="Arial" w:cs="Arial"/>
                <w:b/>
                <w:color w:val="000000"/>
                <w:sz w:val="18"/>
              </w:rPr>
              <w:t>Charges for the Fund</w:t>
            </w:r>
          </w:p>
        </w:tc>
      </w:tr>
      <w:tr w:rsidR="0032425A" w14:paraId="65A2FCC3" w14:textId="77777777">
        <w:trPr>
          <w:trHeight w:hRule="exact" w:val="226"/>
        </w:trPr>
        <w:tc>
          <w:tcPr>
            <w:tcW w:w="10544" w:type="dxa"/>
            <w:shd w:val="clear" w:color="auto" w:fill="auto"/>
            <w:noWrap/>
            <w:tcMar>
              <w:left w:w="20" w:type="dxa"/>
              <w:right w:w="20" w:type="dxa"/>
            </w:tcMar>
          </w:tcPr>
          <w:p w14:paraId="0A36713E" w14:textId="77777777" w:rsidR="0032425A" w:rsidRDefault="0032425A">
            <w:pPr>
              <w:autoSpaceDE w:val="0"/>
              <w:autoSpaceDN w:val="0"/>
              <w:rPr>
                <w:rFonts w:ascii="Arial" w:eastAsia="Arial" w:hAnsi="Arial" w:cs="Arial"/>
                <w:color w:val="000000"/>
                <w:sz w:val="18"/>
              </w:rPr>
            </w:pPr>
          </w:p>
        </w:tc>
      </w:tr>
    </w:tbl>
    <w:p w14:paraId="38C7A93F" w14:textId="77777777" w:rsidR="0032425A" w:rsidRDefault="0032425A">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32425A" w14:paraId="5150EC13" w14:textId="77777777">
        <w:tc>
          <w:tcPr>
            <w:tcW w:w="10544" w:type="dxa"/>
            <w:shd w:val="clear" w:color="auto" w:fill="auto"/>
            <w:noWrap/>
            <w:tcMar>
              <w:left w:w="56" w:type="dxa"/>
              <w:right w:w="56" w:type="dxa"/>
            </w:tcMar>
            <w:vAlign w:val="center"/>
          </w:tcPr>
          <w:p w14:paraId="5EB498A5" w14:textId="77777777" w:rsidR="0032425A" w:rsidRDefault="00ED14A1">
            <w:pPr>
              <w:keepNext/>
              <w:keepLines/>
              <w:autoSpaceDE w:val="0"/>
              <w:autoSpaceDN w:val="0"/>
              <w:spacing w:after="160"/>
              <w:jc w:val="both"/>
            </w:pPr>
            <w:r>
              <w:rPr>
                <w:rFonts w:ascii="Arial" w:eastAsia="Arial" w:hAnsi="Arial" w:cs="Arial"/>
                <w:color w:val="000000"/>
                <w:sz w:val="16"/>
              </w:rPr>
              <w:t>These charges are used to pay the costs of running the Fund, including the costs of marketing and distribution. These charges reduce the potential growth of your investment.</w:t>
            </w:r>
          </w:p>
        </w:tc>
      </w:tr>
      <w:tr w:rsidR="0032425A" w14:paraId="6F7B7BC7" w14:textId="77777777">
        <w:trPr>
          <w:trHeight w:hRule="exact" w:val="170"/>
        </w:trPr>
        <w:tc>
          <w:tcPr>
            <w:tcW w:w="10544" w:type="dxa"/>
            <w:shd w:val="clear" w:color="auto" w:fill="auto"/>
            <w:noWrap/>
            <w:tcMar>
              <w:left w:w="56" w:type="dxa"/>
              <w:right w:w="56" w:type="dxa"/>
            </w:tcMar>
            <w:vAlign w:val="center"/>
          </w:tcPr>
          <w:p w14:paraId="287D7197" w14:textId="77777777" w:rsidR="0032425A" w:rsidRDefault="0032425A">
            <w:pPr>
              <w:autoSpaceDE w:val="0"/>
              <w:autoSpaceDN w:val="0"/>
              <w:jc w:val="both"/>
              <w:rPr>
                <w:rFonts w:ascii="Arial" w:eastAsia="Arial" w:hAnsi="Arial" w:cs="Arial"/>
                <w:color w:val="000000"/>
                <w:sz w:val="16"/>
              </w:rPr>
            </w:pPr>
          </w:p>
        </w:tc>
      </w:tr>
    </w:tbl>
    <w:p w14:paraId="6F487DE5" w14:textId="77777777" w:rsidR="0032425A" w:rsidRDefault="0032425A">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32425A" w14:paraId="35F4AE7D" w14:textId="77777777">
        <w:trPr>
          <w:cantSplit/>
        </w:trPr>
        <w:tc>
          <w:tcPr>
            <w:tcW w:w="5017" w:type="dxa"/>
          </w:tcPr>
          <w:tbl>
            <w:tblPr>
              <w:tblW w:w="4989" w:type="dxa"/>
              <w:tblLayout w:type="fixed"/>
              <w:tblCellMar>
                <w:left w:w="0" w:type="dxa"/>
                <w:right w:w="0" w:type="dxa"/>
              </w:tblCellMar>
              <w:tblLook w:val="04A0" w:firstRow="1" w:lastRow="0" w:firstColumn="1" w:lastColumn="0" w:noHBand="0" w:noVBand="1"/>
            </w:tblPr>
            <w:tblGrid>
              <w:gridCol w:w="1985"/>
              <w:gridCol w:w="566"/>
              <w:gridCol w:w="2438"/>
            </w:tblGrid>
            <w:tr w:rsidR="0032425A" w14:paraId="28ED01C9" w14:textId="77777777">
              <w:trPr>
                <w:trHeight w:hRule="exact" w:val="226"/>
              </w:trPr>
              <w:tc>
                <w:tcPr>
                  <w:tcW w:w="4987" w:type="dxa"/>
                  <w:gridSpan w:val="3"/>
                  <w:tcBorders>
                    <w:top w:val="single" w:sz="4" w:space="0" w:color="000000"/>
                    <w:left w:val="single" w:sz="4" w:space="0" w:color="000000"/>
                    <w:right w:val="single" w:sz="4" w:space="0" w:color="000000"/>
                  </w:tcBorders>
                  <w:shd w:val="clear" w:color="auto" w:fill="auto"/>
                  <w:noWrap/>
                  <w:tcMar>
                    <w:left w:w="56" w:type="dxa"/>
                    <w:right w:w="56" w:type="dxa"/>
                  </w:tcMar>
                  <w:vAlign w:val="center"/>
                </w:tcPr>
                <w:p w14:paraId="4B12BD17" w14:textId="77777777" w:rsidR="0032425A" w:rsidRDefault="00ED14A1">
                  <w:pPr>
                    <w:autoSpaceDE w:val="0"/>
                    <w:autoSpaceDN w:val="0"/>
                    <w:spacing w:after="80"/>
                    <w:jc w:val="both"/>
                  </w:pPr>
                  <w:r>
                    <w:rPr>
                      <w:rFonts w:ascii="Arial" w:eastAsia="Arial" w:hAnsi="Arial" w:cs="Arial"/>
                      <w:b/>
                      <w:color w:val="000000"/>
                      <w:sz w:val="16"/>
                    </w:rPr>
                    <w:t>One-off charges taken before or after you invest</w:t>
                  </w:r>
                </w:p>
              </w:tc>
            </w:tr>
            <w:tr w:rsidR="0032425A" w14:paraId="293CF083"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276A3B1C" w14:textId="77777777" w:rsidR="0032425A" w:rsidRDefault="00ED14A1">
                  <w:pPr>
                    <w:autoSpaceDE w:val="0"/>
                    <w:autoSpaceDN w:val="0"/>
                    <w:spacing w:after="80"/>
                    <w:jc w:val="both"/>
                  </w:pPr>
                  <w:r>
                    <w:rPr>
                      <w:rFonts w:ascii="Arial" w:eastAsia="Arial" w:hAnsi="Arial" w:cs="Arial"/>
                      <w:color w:val="000000"/>
                      <w:sz w:val="16"/>
                    </w:rPr>
                    <w:t>Entry charge</w:t>
                  </w:r>
                </w:p>
              </w:tc>
              <w:tc>
                <w:tcPr>
                  <w:tcW w:w="566" w:type="dxa"/>
                  <w:shd w:val="clear" w:color="auto" w:fill="auto"/>
                  <w:noWrap/>
                  <w:tcMar>
                    <w:left w:w="56" w:type="dxa"/>
                    <w:right w:w="56" w:type="dxa"/>
                  </w:tcMar>
                  <w:vAlign w:val="center"/>
                </w:tcPr>
                <w:p w14:paraId="316A78C4" w14:textId="77777777" w:rsidR="0032425A" w:rsidRDefault="00ED14A1">
                  <w:pPr>
                    <w:autoSpaceDE w:val="0"/>
                    <w:autoSpaceDN w:val="0"/>
                    <w:jc w:val="both"/>
                  </w:pPr>
                  <w:r>
                    <w:rPr>
                      <w:rFonts w:ascii="Arial" w:eastAsia="Arial" w:hAnsi="Arial" w:cs="Arial"/>
                      <w:color w:val="000000"/>
                      <w:sz w:val="16"/>
                    </w:rPr>
                    <w:t>0.00%</w:t>
                  </w:r>
                </w:p>
              </w:tc>
              <w:tc>
                <w:tcPr>
                  <w:tcW w:w="2437" w:type="dxa"/>
                  <w:tcBorders>
                    <w:right w:val="single" w:sz="4" w:space="0" w:color="000000"/>
                  </w:tcBorders>
                  <w:shd w:val="clear" w:color="auto" w:fill="auto"/>
                  <w:noWrap/>
                  <w:tcMar>
                    <w:left w:w="56" w:type="dxa"/>
                    <w:right w:w="56" w:type="dxa"/>
                  </w:tcMar>
                  <w:vAlign w:val="center"/>
                </w:tcPr>
                <w:p w14:paraId="5CA7B7A4" w14:textId="77777777" w:rsidR="0032425A" w:rsidRDefault="0032425A">
                  <w:pPr>
                    <w:autoSpaceDE w:val="0"/>
                    <w:autoSpaceDN w:val="0"/>
                    <w:jc w:val="both"/>
                    <w:rPr>
                      <w:rFonts w:ascii="Arial" w:eastAsia="Arial" w:hAnsi="Arial" w:cs="Arial"/>
                      <w:color w:val="000000"/>
                      <w:sz w:val="16"/>
                    </w:rPr>
                  </w:pPr>
                </w:p>
              </w:tc>
            </w:tr>
            <w:tr w:rsidR="0032425A" w14:paraId="634BF6E7"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21E39494" w14:textId="77777777" w:rsidR="0032425A" w:rsidRDefault="00ED14A1">
                  <w:pPr>
                    <w:autoSpaceDE w:val="0"/>
                    <w:autoSpaceDN w:val="0"/>
                    <w:jc w:val="both"/>
                  </w:pPr>
                  <w:r>
                    <w:rPr>
                      <w:rFonts w:ascii="Arial" w:eastAsia="Arial" w:hAnsi="Arial" w:cs="Arial"/>
                      <w:color w:val="000000"/>
                      <w:sz w:val="16"/>
                    </w:rPr>
                    <w:t>Exit charge</w:t>
                  </w:r>
                </w:p>
              </w:tc>
              <w:tc>
                <w:tcPr>
                  <w:tcW w:w="566" w:type="dxa"/>
                  <w:shd w:val="clear" w:color="auto" w:fill="auto"/>
                  <w:noWrap/>
                  <w:tcMar>
                    <w:left w:w="56" w:type="dxa"/>
                    <w:right w:w="56" w:type="dxa"/>
                  </w:tcMar>
                  <w:vAlign w:val="center"/>
                </w:tcPr>
                <w:p w14:paraId="32C7B414" w14:textId="77777777" w:rsidR="0032425A" w:rsidRDefault="00ED14A1">
                  <w:pPr>
                    <w:autoSpaceDE w:val="0"/>
                    <w:autoSpaceDN w:val="0"/>
                    <w:jc w:val="both"/>
                  </w:pPr>
                  <w:r>
                    <w:rPr>
                      <w:rFonts w:ascii="Arial" w:eastAsia="Arial" w:hAnsi="Arial" w:cs="Arial"/>
                      <w:color w:val="000000"/>
                      <w:sz w:val="16"/>
                    </w:rPr>
                    <w:t>0.00%</w:t>
                  </w:r>
                </w:p>
              </w:tc>
              <w:tc>
                <w:tcPr>
                  <w:tcW w:w="2437" w:type="dxa"/>
                  <w:tcBorders>
                    <w:right w:val="single" w:sz="4" w:space="0" w:color="000000"/>
                  </w:tcBorders>
                  <w:shd w:val="clear" w:color="auto" w:fill="auto"/>
                  <w:noWrap/>
                  <w:tcMar>
                    <w:left w:w="56" w:type="dxa"/>
                    <w:right w:w="56" w:type="dxa"/>
                  </w:tcMar>
                  <w:vAlign w:val="center"/>
                </w:tcPr>
                <w:p w14:paraId="32543397" w14:textId="77777777" w:rsidR="0032425A" w:rsidRDefault="0032425A">
                  <w:pPr>
                    <w:autoSpaceDE w:val="0"/>
                    <w:autoSpaceDN w:val="0"/>
                    <w:jc w:val="both"/>
                    <w:rPr>
                      <w:rFonts w:ascii="Arial" w:eastAsia="Arial" w:hAnsi="Arial" w:cs="Arial"/>
                      <w:color w:val="000000"/>
                      <w:sz w:val="16"/>
                    </w:rPr>
                  </w:pPr>
                </w:p>
              </w:tc>
            </w:tr>
            <w:tr w:rsidR="0032425A" w14:paraId="4ADA09C1" w14:textId="77777777">
              <w:trPr>
                <w:trHeight w:hRule="exact" w:val="226"/>
              </w:trPr>
              <w:tc>
                <w:tcPr>
                  <w:tcW w:w="1984" w:type="dxa"/>
                  <w:tcBorders>
                    <w:left w:val="single" w:sz="4" w:space="0" w:color="000000"/>
                  </w:tcBorders>
                  <w:shd w:val="clear" w:color="auto" w:fill="auto"/>
                  <w:noWrap/>
                  <w:tcMar>
                    <w:left w:w="56" w:type="dxa"/>
                    <w:right w:w="56" w:type="dxa"/>
                  </w:tcMar>
                  <w:vAlign w:val="center"/>
                </w:tcPr>
                <w:p w14:paraId="744BEDF5" w14:textId="77777777" w:rsidR="0032425A" w:rsidRDefault="0032425A">
                  <w:pPr>
                    <w:autoSpaceDE w:val="0"/>
                    <w:autoSpaceDN w:val="0"/>
                    <w:jc w:val="both"/>
                    <w:rPr>
                      <w:rFonts w:ascii="Arial" w:eastAsia="Arial" w:hAnsi="Arial" w:cs="Arial"/>
                      <w:color w:val="000000"/>
                      <w:sz w:val="16"/>
                    </w:rPr>
                  </w:pPr>
                </w:p>
              </w:tc>
              <w:tc>
                <w:tcPr>
                  <w:tcW w:w="566" w:type="dxa"/>
                  <w:shd w:val="clear" w:color="auto" w:fill="auto"/>
                  <w:noWrap/>
                  <w:tcMar>
                    <w:left w:w="56" w:type="dxa"/>
                    <w:right w:w="56" w:type="dxa"/>
                  </w:tcMar>
                  <w:vAlign w:val="center"/>
                </w:tcPr>
                <w:p w14:paraId="1FF4BB61" w14:textId="77777777" w:rsidR="0032425A" w:rsidRDefault="0032425A">
                  <w:pPr>
                    <w:autoSpaceDE w:val="0"/>
                    <w:autoSpaceDN w:val="0"/>
                    <w:jc w:val="both"/>
                    <w:rPr>
                      <w:rFonts w:ascii="Arial" w:eastAsia="Arial" w:hAnsi="Arial" w:cs="Arial"/>
                      <w:color w:val="000000"/>
                      <w:sz w:val="16"/>
                    </w:rPr>
                  </w:pPr>
                </w:p>
              </w:tc>
              <w:tc>
                <w:tcPr>
                  <w:tcW w:w="2437" w:type="dxa"/>
                  <w:tcBorders>
                    <w:right w:val="single" w:sz="4" w:space="0" w:color="000000"/>
                  </w:tcBorders>
                  <w:shd w:val="clear" w:color="auto" w:fill="auto"/>
                  <w:noWrap/>
                  <w:tcMar>
                    <w:left w:w="56" w:type="dxa"/>
                    <w:right w:w="56" w:type="dxa"/>
                  </w:tcMar>
                  <w:vAlign w:val="center"/>
                </w:tcPr>
                <w:p w14:paraId="0AC536F5" w14:textId="77777777" w:rsidR="0032425A" w:rsidRDefault="0032425A">
                  <w:pPr>
                    <w:autoSpaceDE w:val="0"/>
                    <w:autoSpaceDN w:val="0"/>
                    <w:jc w:val="both"/>
                    <w:rPr>
                      <w:rFonts w:ascii="Arial" w:eastAsia="Arial" w:hAnsi="Arial" w:cs="Arial"/>
                      <w:color w:val="000000"/>
                      <w:sz w:val="16"/>
                    </w:rPr>
                  </w:pPr>
                </w:p>
              </w:tc>
            </w:tr>
            <w:tr w:rsidR="0032425A" w14:paraId="20BA0C97" w14:textId="77777777">
              <w:tc>
                <w:tcPr>
                  <w:tcW w:w="4987" w:type="dxa"/>
                  <w:gridSpan w:val="3"/>
                  <w:tcBorders>
                    <w:left w:val="single" w:sz="4" w:space="0" w:color="000000"/>
                    <w:right w:val="single" w:sz="4" w:space="0" w:color="000000"/>
                  </w:tcBorders>
                  <w:shd w:val="clear" w:color="auto" w:fill="auto"/>
                  <w:tcMar>
                    <w:left w:w="56" w:type="dxa"/>
                    <w:right w:w="56" w:type="dxa"/>
                  </w:tcMar>
                  <w:vAlign w:val="center"/>
                </w:tcPr>
                <w:p w14:paraId="29B50629" w14:textId="77777777" w:rsidR="0032425A" w:rsidRDefault="00ED14A1">
                  <w:pPr>
                    <w:autoSpaceDE w:val="0"/>
                    <w:autoSpaceDN w:val="0"/>
                    <w:spacing w:after="60"/>
                    <w:jc w:val="both"/>
                  </w:pPr>
                  <w:r>
                    <w:rPr>
                      <w:rFonts w:ascii="Arial" w:eastAsia="Arial" w:hAnsi="Arial" w:cs="Arial"/>
                      <w:color w:val="000000"/>
                      <w:sz w:val="16"/>
                    </w:rPr>
                    <w:t>This is the maximum that might be taken out of your money before it is invested or before the proceeds of your investment are paid out.</w:t>
                  </w:r>
                </w:p>
              </w:tc>
            </w:tr>
            <w:tr w:rsidR="0032425A" w14:paraId="3A498EE2" w14:textId="77777777">
              <w:trPr>
                <w:trHeight w:hRule="exact" w:val="226"/>
              </w:trPr>
              <w:tc>
                <w:tcPr>
                  <w:tcW w:w="1984" w:type="dxa"/>
                  <w:tcBorders>
                    <w:left w:val="single" w:sz="4" w:space="0" w:color="000000"/>
                    <w:bottom w:val="single" w:sz="4" w:space="0" w:color="000000"/>
                  </w:tcBorders>
                  <w:shd w:val="clear" w:color="auto" w:fill="auto"/>
                  <w:noWrap/>
                  <w:tcMar>
                    <w:left w:w="56" w:type="dxa"/>
                    <w:right w:w="56" w:type="dxa"/>
                  </w:tcMar>
                  <w:vAlign w:val="center"/>
                </w:tcPr>
                <w:p w14:paraId="1C81D174" w14:textId="77777777" w:rsidR="0032425A" w:rsidRDefault="0032425A">
                  <w:pPr>
                    <w:autoSpaceDE w:val="0"/>
                    <w:autoSpaceDN w:val="0"/>
                    <w:jc w:val="both"/>
                    <w:rPr>
                      <w:rFonts w:ascii="Arial" w:eastAsia="Arial" w:hAnsi="Arial" w:cs="Arial"/>
                      <w:color w:val="000000"/>
                      <w:sz w:val="16"/>
                    </w:rPr>
                  </w:pPr>
                </w:p>
              </w:tc>
              <w:tc>
                <w:tcPr>
                  <w:tcW w:w="566" w:type="dxa"/>
                  <w:tcBorders>
                    <w:bottom w:val="single" w:sz="4" w:space="0" w:color="000000"/>
                  </w:tcBorders>
                  <w:shd w:val="clear" w:color="auto" w:fill="auto"/>
                  <w:noWrap/>
                  <w:tcMar>
                    <w:left w:w="56" w:type="dxa"/>
                    <w:right w:w="56" w:type="dxa"/>
                  </w:tcMar>
                  <w:vAlign w:val="center"/>
                </w:tcPr>
                <w:p w14:paraId="3B4D0564" w14:textId="77777777" w:rsidR="0032425A" w:rsidRDefault="0032425A">
                  <w:pPr>
                    <w:autoSpaceDE w:val="0"/>
                    <w:autoSpaceDN w:val="0"/>
                    <w:jc w:val="both"/>
                    <w:rPr>
                      <w:rFonts w:ascii="Arial" w:eastAsia="Arial" w:hAnsi="Arial" w:cs="Arial"/>
                      <w:color w:val="000000"/>
                      <w:sz w:val="16"/>
                    </w:rPr>
                  </w:pPr>
                </w:p>
              </w:tc>
              <w:tc>
                <w:tcPr>
                  <w:tcW w:w="2437" w:type="dxa"/>
                  <w:tcBorders>
                    <w:bottom w:val="single" w:sz="4" w:space="0" w:color="000000"/>
                    <w:right w:val="single" w:sz="4" w:space="0" w:color="000000"/>
                  </w:tcBorders>
                  <w:shd w:val="clear" w:color="auto" w:fill="auto"/>
                  <w:noWrap/>
                  <w:tcMar>
                    <w:left w:w="56" w:type="dxa"/>
                    <w:right w:w="56" w:type="dxa"/>
                  </w:tcMar>
                  <w:vAlign w:val="center"/>
                </w:tcPr>
                <w:p w14:paraId="14D4944A" w14:textId="77777777" w:rsidR="0032425A" w:rsidRDefault="0032425A">
                  <w:pPr>
                    <w:autoSpaceDE w:val="0"/>
                    <w:autoSpaceDN w:val="0"/>
                    <w:jc w:val="both"/>
                    <w:rPr>
                      <w:rFonts w:ascii="Arial" w:eastAsia="Arial" w:hAnsi="Arial" w:cs="Arial"/>
                      <w:color w:val="000000"/>
                      <w:sz w:val="16"/>
                    </w:rPr>
                  </w:pPr>
                </w:p>
              </w:tc>
            </w:tr>
            <w:tr w:rsidR="0032425A" w14:paraId="6E402457" w14:textId="77777777">
              <w:trPr>
                <w:trHeight w:hRule="exact" w:val="283"/>
              </w:trPr>
              <w:tc>
                <w:tcPr>
                  <w:tcW w:w="4987" w:type="dxa"/>
                  <w:gridSpan w:val="3"/>
                  <w:tcBorders>
                    <w:left w:val="single" w:sz="4" w:space="0" w:color="000000"/>
                    <w:right w:val="single" w:sz="4" w:space="0" w:color="000000"/>
                  </w:tcBorders>
                  <w:shd w:val="clear" w:color="auto" w:fill="auto"/>
                  <w:noWrap/>
                  <w:tcMar>
                    <w:left w:w="56" w:type="dxa"/>
                    <w:right w:w="56" w:type="dxa"/>
                  </w:tcMar>
                  <w:vAlign w:val="center"/>
                </w:tcPr>
                <w:p w14:paraId="32FB5031" w14:textId="77777777" w:rsidR="0032425A" w:rsidRDefault="00ED14A1">
                  <w:pPr>
                    <w:autoSpaceDE w:val="0"/>
                    <w:autoSpaceDN w:val="0"/>
                    <w:spacing w:before="80" w:after="80"/>
                    <w:jc w:val="both"/>
                  </w:pPr>
                  <w:r>
                    <w:rPr>
                      <w:rFonts w:ascii="Arial" w:eastAsia="Arial" w:hAnsi="Arial" w:cs="Arial"/>
                      <w:b/>
                      <w:color w:val="000000"/>
                      <w:sz w:val="16"/>
                    </w:rPr>
                    <w:t>Charges taken from the Fund over a year</w:t>
                  </w:r>
                </w:p>
              </w:tc>
            </w:tr>
            <w:tr w:rsidR="0032425A" w14:paraId="32505A34" w14:textId="77777777">
              <w:trPr>
                <w:trHeight w:hRule="exact" w:val="283"/>
              </w:trPr>
              <w:tc>
                <w:tcPr>
                  <w:tcW w:w="1984" w:type="dxa"/>
                  <w:tcBorders>
                    <w:left w:val="single" w:sz="4" w:space="0" w:color="000000"/>
                    <w:bottom w:val="single" w:sz="4" w:space="0" w:color="000000"/>
                  </w:tcBorders>
                  <w:shd w:val="clear" w:color="auto" w:fill="auto"/>
                  <w:noWrap/>
                  <w:tcMar>
                    <w:left w:w="56" w:type="dxa"/>
                    <w:right w:w="56" w:type="dxa"/>
                  </w:tcMar>
                  <w:vAlign w:val="bottom"/>
                </w:tcPr>
                <w:p w14:paraId="2DBF14D1" w14:textId="77777777" w:rsidR="0032425A" w:rsidRDefault="00ED14A1">
                  <w:pPr>
                    <w:autoSpaceDE w:val="0"/>
                    <w:autoSpaceDN w:val="0"/>
                    <w:jc w:val="both"/>
                  </w:pPr>
                  <w:r>
                    <w:rPr>
                      <w:rFonts w:ascii="Arial" w:eastAsia="Arial" w:hAnsi="Arial" w:cs="Arial"/>
                      <w:color w:val="000000"/>
                      <w:sz w:val="16"/>
                    </w:rPr>
                    <w:t>Ongoing charges</w:t>
                  </w:r>
                </w:p>
              </w:tc>
              <w:tc>
                <w:tcPr>
                  <w:tcW w:w="566" w:type="dxa"/>
                  <w:tcBorders>
                    <w:bottom w:val="single" w:sz="4" w:space="0" w:color="000000"/>
                  </w:tcBorders>
                  <w:shd w:val="clear" w:color="auto" w:fill="auto"/>
                  <w:noWrap/>
                  <w:tcMar>
                    <w:left w:w="56" w:type="dxa"/>
                    <w:right w:w="56" w:type="dxa"/>
                  </w:tcMar>
                  <w:vAlign w:val="center"/>
                </w:tcPr>
                <w:p w14:paraId="168E6F78" w14:textId="7A58DAF5" w:rsidR="0032425A" w:rsidRDefault="00ED14A1">
                  <w:pPr>
                    <w:autoSpaceDE w:val="0"/>
                    <w:autoSpaceDN w:val="0"/>
                    <w:jc w:val="both"/>
                  </w:pPr>
                  <w:r>
                    <w:rPr>
                      <w:rFonts w:ascii="Arial" w:eastAsia="Arial" w:hAnsi="Arial" w:cs="Arial"/>
                      <w:color w:val="000000"/>
                      <w:sz w:val="16"/>
                    </w:rPr>
                    <w:t>1.60%</w:t>
                  </w:r>
                </w:p>
              </w:tc>
              <w:tc>
                <w:tcPr>
                  <w:tcW w:w="2437" w:type="dxa"/>
                  <w:tcBorders>
                    <w:bottom w:val="single" w:sz="4" w:space="0" w:color="000000"/>
                    <w:right w:val="single" w:sz="4" w:space="0" w:color="000000"/>
                  </w:tcBorders>
                  <w:shd w:val="clear" w:color="auto" w:fill="auto"/>
                  <w:noWrap/>
                  <w:tcMar>
                    <w:left w:w="56" w:type="dxa"/>
                    <w:right w:w="56" w:type="dxa"/>
                  </w:tcMar>
                  <w:vAlign w:val="center"/>
                </w:tcPr>
                <w:p w14:paraId="71570464" w14:textId="77777777" w:rsidR="0032425A" w:rsidRDefault="0032425A">
                  <w:pPr>
                    <w:autoSpaceDE w:val="0"/>
                    <w:autoSpaceDN w:val="0"/>
                    <w:jc w:val="both"/>
                    <w:rPr>
                      <w:rFonts w:ascii="Arial" w:eastAsia="Arial" w:hAnsi="Arial" w:cs="Arial"/>
                      <w:color w:val="000000"/>
                      <w:sz w:val="16"/>
                    </w:rPr>
                  </w:pPr>
                </w:p>
              </w:tc>
            </w:tr>
            <w:tr w:rsidR="0032425A" w14:paraId="7994EC1B" w14:textId="77777777">
              <w:tc>
                <w:tcPr>
                  <w:tcW w:w="4987" w:type="dxa"/>
                  <w:gridSpan w:val="3"/>
                  <w:tcBorders>
                    <w:left w:val="single" w:sz="4" w:space="0" w:color="000000"/>
                    <w:right w:val="single" w:sz="4" w:space="0" w:color="000000"/>
                  </w:tcBorders>
                  <w:shd w:val="clear" w:color="auto" w:fill="auto"/>
                  <w:noWrap/>
                  <w:tcMar>
                    <w:left w:w="56" w:type="dxa"/>
                    <w:right w:w="56" w:type="dxa"/>
                  </w:tcMar>
                  <w:vAlign w:val="center"/>
                </w:tcPr>
                <w:p w14:paraId="4FA149B1" w14:textId="77777777" w:rsidR="0032425A" w:rsidRDefault="00ED14A1">
                  <w:pPr>
                    <w:autoSpaceDE w:val="0"/>
                    <w:autoSpaceDN w:val="0"/>
                    <w:spacing w:before="80" w:after="80"/>
                    <w:jc w:val="both"/>
                  </w:pPr>
                  <w:r>
                    <w:rPr>
                      <w:rFonts w:ascii="Arial" w:eastAsia="Arial" w:hAnsi="Arial" w:cs="Arial"/>
                      <w:b/>
                      <w:color w:val="000000"/>
                      <w:sz w:val="16"/>
                    </w:rPr>
                    <w:t>Charges taken from the Fund under certain specific conditions</w:t>
                  </w:r>
                </w:p>
              </w:tc>
            </w:tr>
            <w:tr w:rsidR="0032425A" w14:paraId="4881D808" w14:textId="77777777">
              <w:tc>
                <w:tcPr>
                  <w:tcW w:w="1984" w:type="dxa"/>
                  <w:tcBorders>
                    <w:left w:val="single" w:sz="4" w:space="0" w:color="000000"/>
                    <w:bottom w:val="single" w:sz="4" w:space="0" w:color="000000"/>
                  </w:tcBorders>
                  <w:shd w:val="clear" w:color="auto" w:fill="auto"/>
                  <w:noWrap/>
                  <w:tcMar>
                    <w:left w:w="56" w:type="dxa"/>
                    <w:right w:w="56" w:type="dxa"/>
                  </w:tcMar>
                  <w:vAlign w:val="center"/>
                </w:tcPr>
                <w:p w14:paraId="6132BBB9" w14:textId="77777777" w:rsidR="0032425A" w:rsidRDefault="00ED14A1">
                  <w:pPr>
                    <w:autoSpaceDE w:val="0"/>
                    <w:autoSpaceDN w:val="0"/>
                    <w:jc w:val="both"/>
                  </w:pPr>
                  <w:r>
                    <w:rPr>
                      <w:rFonts w:ascii="Arial" w:eastAsia="Arial" w:hAnsi="Arial" w:cs="Arial"/>
                      <w:color w:val="000000"/>
                      <w:sz w:val="16"/>
                    </w:rPr>
                    <w:t>Performance Fee</w:t>
                  </w:r>
                </w:p>
              </w:tc>
              <w:tc>
                <w:tcPr>
                  <w:tcW w:w="3003" w:type="dxa"/>
                  <w:gridSpan w:val="2"/>
                  <w:tcBorders>
                    <w:bottom w:val="single" w:sz="4" w:space="0" w:color="000000"/>
                    <w:right w:val="single" w:sz="4" w:space="0" w:color="000000"/>
                  </w:tcBorders>
                  <w:shd w:val="clear" w:color="auto" w:fill="auto"/>
                  <w:tcMar>
                    <w:left w:w="56" w:type="dxa"/>
                    <w:right w:w="56" w:type="dxa"/>
                  </w:tcMar>
                  <w:vAlign w:val="center"/>
                </w:tcPr>
                <w:p w14:paraId="7258820B" w14:textId="77777777" w:rsidR="0032425A" w:rsidRDefault="00ED14A1">
                  <w:pPr>
                    <w:autoSpaceDE w:val="0"/>
                    <w:autoSpaceDN w:val="0"/>
                  </w:pPr>
                  <w:r>
                    <w:rPr>
                      <w:rFonts w:ascii="Arial" w:eastAsia="Arial" w:hAnsi="Arial" w:cs="Arial"/>
                      <w:color w:val="000000"/>
                      <w:sz w:val="16"/>
                    </w:rPr>
                    <w:t>0.00%</w:t>
                  </w:r>
                </w:p>
              </w:tc>
            </w:tr>
          </w:tbl>
          <w:p w14:paraId="38498472" w14:textId="77777777" w:rsidR="0032425A" w:rsidRDefault="0032425A">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32425A" w14:paraId="5AF62246" w14:textId="77777777">
              <w:trPr>
                <w:trHeight w:hRule="exact" w:val="170"/>
              </w:trPr>
              <w:tc>
                <w:tcPr>
                  <w:tcW w:w="510" w:type="dxa"/>
                  <w:shd w:val="clear" w:color="auto" w:fill="auto"/>
                  <w:noWrap/>
                  <w:tcMar>
                    <w:left w:w="20" w:type="dxa"/>
                    <w:right w:w="20" w:type="dxa"/>
                  </w:tcMar>
                </w:tcPr>
                <w:p w14:paraId="776AE593" w14:textId="77777777" w:rsidR="0032425A" w:rsidRDefault="0032425A">
                  <w:pPr>
                    <w:autoSpaceDE w:val="0"/>
                    <w:autoSpaceDN w:val="0"/>
                    <w:rPr>
                      <w:rFonts w:ascii="Arial" w:eastAsia="Arial" w:hAnsi="Arial" w:cs="Arial"/>
                      <w:color w:val="000000"/>
                      <w:sz w:val="18"/>
                    </w:rPr>
                  </w:pPr>
                </w:p>
              </w:tc>
            </w:tr>
          </w:tbl>
          <w:p w14:paraId="2F8DCA99" w14:textId="77777777" w:rsidR="0032425A" w:rsidRDefault="0032425A">
            <w:pPr>
              <w:keepNext/>
              <w:autoSpaceDE w:val="0"/>
              <w:autoSpaceDN w:val="0"/>
              <w:rPr>
                <w:vanish/>
                <w:sz w:val="2"/>
                <w:szCs w:val="2"/>
              </w:rPr>
            </w:pPr>
          </w:p>
        </w:tc>
        <w:tc>
          <w:tcPr>
            <w:tcW w:w="5017" w:type="dxa"/>
          </w:tcPr>
          <w:tbl>
            <w:tblPr>
              <w:tblW w:w="5017" w:type="dxa"/>
              <w:tblLayout w:type="fixed"/>
              <w:tblCellMar>
                <w:left w:w="0" w:type="dxa"/>
                <w:right w:w="0" w:type="dxa"/>
              </w:tblCellMar>
              <w:tblLook w:val="04A0" w:firstRow="1" w:lastRow="0" w:firstColumn="1" w:lastColumn="0" w:noHBand="0" w:noVBand="1"/>
            </w:tblPr>
            <w:tblGrid>
              <w:gridCol w:w="5017"/>
            </w:tblGrid>
            <w:tr w:rsidR="0032425A" w14:paraId="7882D66E" w14:textId="77777777">
              <w:tc>
                <w:tcPr>
                  <w:tcW w:w="5017" w:type="dxa"/>
                  <w:shd w:val="clear" w:color="auto" w:fill="auto"/>
                  <w:noWrap/>
                  <w:tcMar>
                    <w:left w:w="56" w:type="dxa"/>
                    <w:right w:w="56" w:type="dxa"/>
                  </w:tcMar>
                  <w:vAlign w:val="center"/>
                </w:tcPr>
                <w:p w14:paraId="6DA20A06" w14:textId="77777777" w:rsidR="0032425A" w:rsidRDefault="00ED14A1">
                  <w:pPr>
                    <w:keepLines/>
                    <w:autoSpaceDE w:val="0"/>
                    <w:autoSpaceDN w:val="0"/>
                    <w:jc w:val="both"/>
                  </w:pPr>
                  <w:r>
                    <w:rPr>
                      <w:rFonts w:ascii="Arial" w:eastAsia="Arial" w:hAnsi="Arial" w:cs="Arial"/>
                      <w:color w:val="000000"/>
                      <w:sz w:val="16"/>
                    </w:rPr>
                    <w:t>The Exit and Entry charges shown are maximum figures, and in some cases an investor may pay substantially less, or there will be no charges at all. You can find out the actual entry and exit charges from your financial advisor, distributor or the Manager of the Fund.</w:t>
                  </w:r>
                </w:p>
                <w:p w14:paraId="7C677C17" w14:textId="77777777" w:rsidR="0032425A" w:rsidRDefault="00ED14A1">
                  <w:pPr>
                    <w:keepLines/>
                    <w:autoSpaceDE w:val="0"/>
                    <w:autoSpaceDN w:val="0"/>
                    <w:jc w:val="both"/>
                  </w:pPr>
                  <w:r>
                    <w:rPr>
                      <w:rFonts w:ascii="Arial" w:eastAsia="Arial" w:hAnsi="Arial" w:cs="Arial"/>
                      <w:color w:val="000000"/>
                      <w:sz w:val="16"/>
                    </w:rPr>
                    <w:t> </w:t>
                  </w:r>
                </w:p>
                <w:p w14:paraId="29107E8F" w14:textId="77777777" w:rsidR="0032425A" w:rsidRDefault="00ED14A1">
                  <w:pPr>
                    <w:keepLines/>
                    <w:autoSpaceDE w:val="0"/>
                    <w:autoSpaceDN w:val="0"/>
                    <w:jc w:val="both"/>
                  </w:pPr>
                  <w:r>
                    <w:rPr>
                      <w:rFonts w:ascii="Arial" w:eastAsia="Arial" w:hAnsi="Arial" w:cs="Arial"/>
                      <w:color w:val="000000"/>
                      <w:sz w:val="16"/>
                    </w:rPr>
                    <w:t>The ongoing charges figure is an estimate based on a projection of the expenses of the Fund for the first twelve months of operation of the Fund, which includes estimates of any sales charges and ongoing charges which may be levied by the underlying collective undertakings into which the Fund invests.</w:t>
                  </w:r>
                </w:p>
                <w:p w14:paraId="78D405B1" w14:textId="77777777" w:rsidR="0032425A" w:rsidRDefault="00ED14A1">
                  <w:pPr>
                    <w:keepLines/>
                    <w:autoSpaceDE w:val="0"/>
                    <w:autoSpaceDN w:val="0"/>
                    <w:jc w:val="both"/>
                  </w:pPr>
                  <w:r>
                    <w:rPr>
                      <w:rFonts w:ascii="Arial" w:eastAsia="Arial" w:hAnsi="Arial" w:cs="Arial"/>
                      <w:color w:val="000000"/>
                      <w:sz w:val="16"/>
                    </w:rPr>
                    <w:t> </w:t>
                  </w:r>
                </w:p>
                <w:p w14:paraId="78EB5E05" w14:textId="77777777" w:rsidR="0032425A" w:rsidRDefault="00ED14A1">
                  <w:pPr>
                    <w:keepLines/>
                    <w:autoSpaceDE w:val="0"/>
                    <w:autoSpaceDN w:val="0"/>
                    <w:jc w:val="both"/>
                  </w:pPr>
                  <w:r>
                    <w:rPr>
                      <w:rFonts w:ascii="Arial" w:eastAsia="Arial" w:hAnsi="Arial" w:cs="Arial"/>
                      <w:color w:val="000000"/>
                      <w:sz w:val="16"/>
                    </w:rPr>
                    <w:t>This figure may vary from year to year. It excludes portfolio transaction costs, except in the case of an entry or exit charge paid by the Fund when buying or selling units in another UCITS or collective investment undertaking.</w:t>
                  </w:r>
                </w:p>
              </w:tc>
            </w:tr>
          </w:tbl>
          <w:p w14:paraId="4E693A76" w14:textId="77777777" w:rsidR="0032425A" w:rsidRDefault="0032425A">
            <w:pPr>
              <w:keepNext/>
              <w:autoSpaceDE w:val="0"/>
              <w:autoSpaceDN w:val="0"/>
              <w:rPr>
                <w:vanish/>
                <w:sz w:val="2"/>
                <w:szCs w:val="2"/>
              </w:rPr>
            </w:pPr>
          </w:p>
        </w:tc>
      </w:tr>
    </w:tbl>
    <w:p w14:paraId="06D6C14A" w14:textId="77777777" w:rsidR="0032425A" w:rsidRDefault="0032425A">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32425A" w14:paraId="62B35EAA" w14:textId="77777777">
        <w:tc>
          <w:tcPr>
            <w:tcW w:w="10544" w:type="dxa"/>
            <w:shd w:val="clear" w:color="auto" w:fill="auto"/>
            <w:noWrap/>
            <w:tcMar>
              <w:left w:w="56" w:type="dxa"/>
              <w:right w:w="56" w:type="dxa"/>
            </w:tcMar>
            <w:vAlign w:val="center"/>
          </w:tcPr>
          <w:p w14:paraId="77C1D91E" w14:textId="77777777" w:rsidR="0032425A" w:rsidRDefault="00ED14A1">
            <w:pPr>
              <w:keepLines/>
              <w:autoSpaceDE w:val="0"/>
              <w:autoSpaceDN w:val="0"/>
              <w:spacing w:before="180" w:after="180"/>
              <w:jc w:val="both"/>
            </w:pPr>
            <w:r>
              <w:rPr>
                <w:rFonts w:ascii="Arial" w:eastAsia="Arial" w:hAnsi="Arial" w:cs="Arial"/>
                <w:color w:val="000000"/>
                <w:sz w:val="16"/>
              </w:rPr>
              <w:t>You can find more details about the charges in the section of the Fund's Prospectus entitled Fees and Expenses.</w:t>
            </w:r>
          </w:p>
        </w:tc>
      </w:tr>
    </w:tbl>
    <w:p w14:paraId="164388E3" w14:textId="77777777" w:rsidR="0032425A" w:rsidRDefault="0032425A">
      <w:pPr>
        <w:keepNext/>
        <w:autoSpaceDE w:val="0"/>
        <w:autoSpaceDN w:val="0"/>
        <w:rPr>
          <w:vanish/>
          <w:sz w:val="2"/>
          <w:szCs w:val="2"/>
        </w:r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32425A" w14:paraId="37D85CB3" w14:textId="77777777">
        <w:trPr>
          <w:trHeight w:hRule="exact" w:val="283"/>
        </w:trPr>
        <w:tc>
          <w:tcPr>
            <w:tcW w:w="10544" w:type="dxa"/>
            <w:shd w:val="clear" w:color="auto" w:fill="auto"/>
            <w:noWrap/>
            <w:tcMar>
              <w:left w:w="20" w:type="dxa"/>
              <w:right w:w="20" w:type="dxa"/>
            </w:tcMar>
          </w:tcPr>
          <w:p w14:paraId="37E719DF" w14:textId="77777777" w:rsidR="0032425A" w:rsidRDefault="0032425A">
            <w:pPr>
              <w:autoSpaceDE w:val="0"/>
              <w:autoSpaceDN w:val="0"/>
              <w:rPr>
                <w:rFonts w:ascii="Arial" w:eastAsia="Arial" w:hAnsi="Arial" w:cs="Arial"/>
                <w:color w:val="000000"/>
                <w:sz w:val="18"/>
              </w:rPr>
            </w:pPr>
          </w:p>
        </w:tc>
      </w:tr>
    </w:tbl>
    <w:p w14:paraId="02690CF5" w14:textId="77777777" w:rsidR="0032425A" w:rsidRDefault="0032425A">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32425A" w14:paraId="379B3491"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1322C2E3" w14:textId="77777777" w:rsidR="0032425A" w:rsidRDefault="00ED14A1">
            <w:pPr>
              <w:keepNext/>
              <w:autoSpaceDE w:val="0"/>
              <w:autoSpaceDN w:val="0"/>
            </w:pPr>
            <w:r>
              <w:rPr>
                <w:rFonts w:ascii="Arial" w:eastAsia="Arial" w:hAnsi="Arial" w:cs="Arial"/>
                <w:b/>
                <w:color w:val="000000"/>
                <w:sz w:val="18"/>
              </w:rPr>
              <w:t>Past Performance</w:t>
            </w:r>
          </w:p>
        </w:tc>
      </w:tr>
      <w:tr w:rsidR="0032425A" w14:paraId="216FA292" w14:textId="77777777">
        <w:trPr>
          <w:trHeight w:hRule="exact" w:val="226"/>
        </w:trPr>
        <w:tc>
          <w:tcPr>
            <w:tcW w:w="10544" w:type="dxa"/>
            <w:shd w:val="clear" w:color="auto" w:fill="auto"/>
            <w:noWrap/>
            <w:tcMar>
              <w:left w:w="20" w:type="dxa"/>
              <w:right w:w="20" w:type="dxa"/>
            </w:tcMar>
          </w:tcPr>
          <w:p w14:paraId="583C6EB3" w14:textId="77777777" w:rsidR="0032425A" w:rsidRDefault="0032425A">
            <w:pPr>
              <w:autoSpaceDE w:val="0"/>
              <w:autoSpaceDN w:val="0"/>
              <w:rPr>
                <w:rFonts w:ascii="Arial" w:eastAsia="Arial" w:hAnsi="Arial" w:cs="Arial"/>
                <w:color w:val="000000"/>
                <w:sz w:val="18"/>
              </w:rPr>
            </w:pPr>
          </w:p>
        </w:tc>
      </w:tr>
    </w:tbl>
    <w:p w14:paraId="52BC70D6" w14:textId="77777777" w:rsidR="0032425A" w:rsidRDefault="0032425A">
      <w:pPr>
        <w:keepNext/>
        <w:autoSpaceDE w:val="0"/>
        <w:autoSpaceDN w:val="0"/>
        <w:rPr>
          <w:vanish/>
          <w:sz w:val="2"/>
          <w:szCs w:val="2"/>
        </w:rPr>
      </w:pPr>
    </w:p>
    <w:tbl>
      <w:tblPr>
        <w:tblW w:w="10544" w:type="dxa"/>
        <w:tblLayout w:type="fixed"/>
        <w:tblCellMar>
          <w:left w:w="0" w:type="dxa"/>
          <w:right w:w="0" w:type="dxa"/>
        </w:tblCellMar>
        <w:tblLook w:val="04A0" w:firstRow="1" w:lastRow="0" w:firstColumn="1" w:lastColumn="0" w:noHBand="0" w:noVBand="1"/>
      </w:tblPr>
      <w:tblGrid>
        <w:gridCol w:w="5017"/>
        <w:gridCol w:w="510"/>
        <w:gridCol w:w="5017"/>
      </w:tblGrid>
      <w:tr w:rsidR="0032425A" w14:paraId="177E3AA6" w14:textId="77777777">
        <w:trPr>
          <w:cantSplit/>
        </w:trPr>
        <w:tc>
          <w:tcPr>
            <w:tcW w:w="5017" w:type="dxa"/>
          </w:tcPr>
          <w:p w14:paraId="2241AB9E" w14:textId="77777777" w:rsidR="0032425A" w:rsidRDefault="00ED14A1">
            <w:pPr>
              <w:autoSpaceDE w:val="0"/>
              <w:autoSpaceDN w:val="0"/>
            </w:pPr>
            <w:r>
              <w:rPr>
                <w:noProof/>
              </w:rPr>
              <w:drawing>
                <wp:inline distT="0" distB="0" distL="0" distR="0" wp14:anchorId="334C9CC3" wp14:editId="1D26B40B">
                  <wp:extent cx="3168000" cy="2232000"/>
                  <wp:effectExtent l="0" t="0" r="12700" b="21590"/>
                  <wp:docPr id="10112" name="Chart10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C619920" w14:textId="77777777" w:rsidR="0032425A" w:rsidRDefault="0032425A">
            <w:pPr>
              <w:keepNext/>
              <w:autoSpaceDE w:val="0"/>
              <w:autoSpaceDN w:val="0"/>
              <w:rPr>
                <w:vanish/>
                <w:sz w:val="2"/>
                <w:szCs w:val="2"/>
              </w:rPr>
            </w:pPr>
          </w:p>
        </w:tc>
        <w:tc>
          <w:tcPr>
            <w:tcW w:w="510" w:type="dxa"/>
          </w:tcPr>
          <w:tbl>
            <w:tblPr>
              <w:tblW w:w="510" w:type="dxa"/>
              <w:tblLayout w:type="fixed"/>
              <w:tblCellMar>
                <w:left w:w="0" w:type="dxa"/>
                <w:right w:w="0" w:type="dxa"/>
              </w:tblCellMar>
              <w:tblLook w:val="04A0" w:firstRow="1" w:lastRow="0" w:firstColumn="1" w:lastColumn="0" w:noHBand="0" w:noVBand="1"/>
            </w:tblPr>
            <w:tblGrid>
              <w:gridCol w:w="510"/>
            </w:tblGrid>
            <w:tr w:rsidR="0032425A" w14:paraId="3C9BB8E7" w14:textId="77777777">
              <w:trPr>
                <w:trHeight w:hRule="exact" w:val="170"/>
              </w:trPr>
              <w:tc>
                <w:tcPr>
                  <w:tcW w:w="510" w:type="dxa"/>
                  <w:shd w:val="clear" w:color="auto" w:fill="auto"/>
                  <w:noWrap/>
                  <w:tcMar>
                    <w:left w:w="20" w:type="dxa"/>
                    <w:right w:w="20" w:type="dxa"/>
                  </w:tcMar>
                </w:tcPr>
                <w:p w14:paraId="573C3A77" w14:textId="77777777" w:rsidR="0032425A" w:rsidRDefault="0032425A">
                  <w:pPr>
                    <w:autoSpaceDE w:val="0"/>
                    <w:autoSpaceDN w:val="0"/>
                    <w:rPr>
                      <w:rFonts w:ascii="Arial" w:eastAsia="Arial" w:hAnsi="Arial" w:cs="Arial"/>
                      <w:color w:val="000000"/>
                      <w:sz w:val="18"/>
                    </w:rPr>
                  </w:pPr>
                </w:p>
              </w:tc>
            </w:tr>
          </w:tbl>
          <w:p w14:paraId="3D114F4F" w14:textId="77777777" w:rsidR="0032425A" w:rsidRDefault="0032425A">
            <w:pPr>
              <w:keepNext/>
              <w:autoSpaceDE w:val="0"/>
              <w:autoSpaceDN w:val="0"/>
              <w:rPr>
                <w:vanish/>
                <w:sz w:val="2"/>
                <w:szCs w:val="2"/>
              </w:rPr>
            </w:pPr>
          </w:p>
        </w:tc>
        <w:tc>
          <w:tcPr>
            <w:tcW w:w="5017" w:type="dxa"/>
          </w:tcPr>
          <w:p w14:paraId="5C1C57EC" w14:textId="77777777" w:rsidR="0032425A" w:rsidRDefault="00ED14A1">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The chart shows the Fund's annual performance in USD for each full calendar year over the period displayed in the chart. It is expressed as a percentage change of the Fund's net asset value at each year-end.</w:t>
            </w:r>
          </w:p>
          <w:p w14:paraId="4665EADA" w14:textId="77777777" w:rsidR="0032425A" w:rsidRDefault="0032425A">
            <w:pPr>
              <w:keepLines/>
              <w:autoSpaceDE w:val="0"/>
              <w:autoSpaceDN w:val="0"/>
              <w:spacing w:after="60"/>
              <w:jc w:val="both"/>
              <w:rPr>
                <w:rFonts w:ascii="Arial" w:eastAsia="Arial" w:hAnsi="Arial" w:cs="Arial"/>
                <w:color w:val="000000"/>
                <w:sz w:val="16"/>
                <w:szCs w:val="16"/>
              </w:rPr>
            </w:pPr>
          </w:p>
          <w:p w14:paraId="4EEF792C" w14:textId="77777777" w:rsidR="0032425A" w:rsidRDefault="00ED14A1">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The Fund was launched in 2019 and shares in this class were issued in 2020.</w:t>
            </w:r>
          </w:p>
          <w:p w14:paraId="54086DDE" w14:textId="77777777" w:rsidR="0032425A" w:rsidRDefault="00ED14A1">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Performance is shown after deduction of ongoing charges. Any entry/exit charges are excluded from the calculation.</w:t>
            </w:r>
          </w:p>
          <w:p w14:paraId="626BB22A" w14:textId="77777777" w:rsidR="0032425A" w:rsidRDefault="0032425A">
            <w:pPr>
              <w:keepLines/>
              <w:autoSpaceDE w:val="0"/>
              <w:autoSpaceDN w:val="0"/>
              <w:spacing w:after="60"/>
              <w:jc w:val="both"/>
              <w:rPr>
                <w:rFonts w:ascii="Arial" w:eastAsia="Arial" w:hAnsi="Arial" w:cs="Arial"/>
                <w:color w:val="000000"/>
                <w:sz w:val="16"/>
                <w:szCs w:val="16"/>
              </w:rPr>
            </w:pPr>
          </w:p>
          <w:p w14:paraId="589EF143" w14:textId="77777777" w:rsidR="0032425A" w:rsidRDefault="00ED14A1">
            <w:pPr>
              <w:keepLines/>
              <w:autoSpaceDE w:val="0"/>
              <w:autoSpaceDN w:val="0"/>
              <w:spacing w:after="60"/>
              <w:jc w:val="both"/>
              <w:rPr>
                <w:rFonts w:ascii="Arial" w:eastAsia="Arial" w:hAnsi="Arial" w:cs="Arial"/>
                <w:color w:val="000000"/>
                <w:sz w:val="16"/>
                <w:szCs w:val="16"/>
              </w:rPr>
            </w:pPr>
            <w:r>
              <w:rPr>
                <w:rFonts w:ascii="Arial" w:eastAsia="Arial" w:hAnsi="Arial" w:cs="Arial"/>
                <w:color w:val="000000"/>
                <w:sz w:val="16"/>
                <w:szCs w:val="16"/>
              </w:rPr>
              <w:t>Past performance is based on the net asset value (NAV) of the Fund and is not a reliable indicator of future results.</w:t>
            </w:r>
          </w:p>
          <w:p w14:paraId="649A88C8" w14:textId="77777777" w:rsidR="0032425A" w:rsidRDefault="0032425A">
            <w:pPr>
              <w:keepNext/>
              <w:autoSpaceDE w:val="0"/>
              <w:autoSpaceDN w:val="0"/>
              <w:rPr>
                <w:vanish/>
                <w:sz w:val="2"/>
                <w:szCs w:val="2"/>
              </w:rPr>
            </w:pPr>
          </w:p>
        </w:tc>
      </w:tr>
    </w:tbl>
    <w:p w14:paraId="609CAB8C" w14:textId="77777777" w:rsidR="0032425A" w:rsidRDefault="0032425A">
      <w:pPr>
        <w:keepNext/>
        <w:autoSpaceDE w:val="0"/>
        <w:autoSpaceDN w:val="0"/>
        <w:rPr>
          <w:vanish/>
          <w:sz w:val="2"/>
          <w:szCs w:val="2"/>
        </w:rPr>
      </w:pPr>
    </w:p>
    <w:tbl>
      <w:tblPr>
        <w:tblW w:w="10544" w:type="dxa"/>
        <w:tblInd w:w="20" w:type="dxa"/>
        <w:tblLayout w:type="fixed"/>
        <w:tblCellMar>
          <w:left w:w="0" w:type="dxa"/>
          <w:right w:w="0" w:type="dxa"/>
        </w:tblCellMar>
        <w:tblLook w:val="04A0" w:firstRow="1" w:lastRow="0" w:firstColumn="1" w:lastColumn="0" w:noHBand="0" w:noVBand="1"/>
      </w:tblPr>
      <w:tblGrid>
        <w:gridCol w:w="10544"/>
      </w:tblGrid>
      <w:tr w:rsidR="0032425A" w14:paraId="1A9D387D" w14:textId="77777777">
        <w:trPr>
          <w:trHeight w:hRule="exact" w:val="283"/>
        </w:trPr>
        <w:tc>
          <w:tcPr>
            <w:tcW w:w="10544" w:type="dxa"/>
            <w:shd w:val="clear" w:color="auto" w:fill="auto"/>
            <w:noWrap/>
            <w:tcMar>
              <w:left w:w="20" w:type="dxa"/>
              <w:right w:w="20" w:type="dxa"/>
            </w:tcMar>
          </w:tcPr>
          <w:p w14:paraId="756E115E" w14:textId="77777777" w:rsidR="0032425A" w:rsidRDefault="0032425A">
            <w:pPr>
              <w:autoSpaceDE w:val="0"/>
              <w:autoSpaceDN w:val="0"/>
              <w:rPr>
                <w:rFonts w:ascii="Arial" w:eastAsia="Arial" w:hAnsi="Arial" w:cs="Arial"/>
                <w:color w:val="000000"/>
                <w:sz w:val="18"/>
              </w:rPr>
            </w:pPr>
          </w:p>
        </w:tc>
      </w:tr>
    </w:tbl>
    <w:p w14:paraId="1C8CD846" w14:textId="77777777" w:rsidR="0032425A" w:rsidRDefault="0032425A">
      <w:pPr>
        <w:keepNext/>
        <w:autoSpaceDE w:val="0"/>
        <w:autoSpaceDN w:val="0"/>
        <w:rPr>
          <w:vanish/>
          <w:sz w:val="2"/>
          <w:szCs w:val="2"/>
        </w:rPr>
      </w:pPr>
    </w:p>
    <w:tbl>
      <w:tblPr>
        <w:tblW w:w="10544" w:type="dxa"/>
        <w:tblInd w:w="56" w:type="dxa"/>
        <w:tblLayout w:type="fixed"/>
        <w:tblCellMar>
          <w:left w:w="0" w:type="dxa"/>
          <w:right w:w="0" w:type="dxa"/>
        </w:tblCellMar>
        <w:tblLook w:val="04A0" w:firstRow="1" w:lastRow="0" w:firstColumn="1" w:lastColumn="0" w:noHBand="0" w:noVBand="1"/>
      </w:tblPr>
      <w:tblGrid>
        <w:gridCol w:w="10544"/>
      </w:tblGrid>
      <w:tr w:rsidR="0032425A" w14:paraId="715F42BC" w14:textId="77777777">
        <w:trPr>
          <w:trHeight w:hRule="exact" w:val="255"/>
        </w:trPr>
        <w:tc>
          <w:tcPr>
            <w:tcW w:w="10544" w:type="dxa"/>
            <w:tcBorders>
              <w:top w:val="single" w:sz="4" w:space="0" w:color="000000"/>
              <w:left w:val="single" w:sz="4" w:space="0" w:color="000000"/>
              <w:bottom w:val="single" w:sz="4" w:space="0" w:color="000000"/>
              <w:right w:val="single" w:sz="4" w:space="0" w:color="000000"/>
            </w:tcBorders>
            <w:shd w:val="solid" w:color="BFBFBF" w:fill="auto"/>
            <w:tcMar>
              <w:left w:w="56" w:type="dxa"/>
              <w:right w:w="56" w:type="dxa"/>
            </w:tcMar>
            <w:vAlign w:val="center"/>
          </w:tcPr>
          <w:p w14:paraId="6251A622" w14:textId="77777777" w:rsidR="0032425A" w:rsidRDefault="00ED14A1">
            <w:pPr>
              <w:keepNext/>
              <w:autoSpaceDE w:val="0"/>
              <w:autoSpaceDN w:val="0"/>
            </w:pPr>
            <w:r>
              <w:rPr>
                <w:rFonts w:ascii="Arial" w:eastAsia="Arial" w:hAnsi="Arial" w:cs="Arial"/>
                <w:b/>
                <w:color w:val="000000"/>
                <w:sz w:val="18"/>
              </w:rPr>
              <w:t>Practical Information</w:t>
            </w:r>
          </w:p>
        </w:tc>
      </w:tr>
      <w:tr w:rsidR="0032425A" w14:paraId="2AEB30A1" w14:textId="77777777">
        <w:trPr>
          <w:trHeight w:hRule="exact" w:val="226"/>
        </w:trPr>
        <w:tc>
          <w:tcPr>
            <w:tcW w:w="10544" w:type="dxa"/>
            <w:shd w:val="clear" w:color="auto" w:fill="auto"/>
            <w:noWrap/>
            <w:tcMar>
              <w:left w:w="20" w:type="dxa"/>
              <w:right w:w="20" w:type="dxa"/>
            </w:tcMar>
          </w:tcPr>
          <w:p w14:paraId="6E902513" w14:textId="77777777" w:rsidR="0032425A" w:rsidRDefault="0032425A">
            <w:pPr>
              <w:autoSpaceDE w:val="0"/>
              <w:autoSpaceDN w:val="0"/>
              <w:rPr>
                <w:rFonts w:ascii="Arial" w:eastAsia="Arial" w:hAnsi="Arial" w:cs="Arial"/>
                <w:color w:val="000000"/>
                <w:sz w:val="18"/>
              </w:rPr>
            </w:pPr>
          </w:p>
        </w:tc>
      </w:tr>
    </w:tbl>
    <w:p w14:paraId="1BB56B87" w14:textId="77777777" w:rsidR="0032425A" w:rsidRDefault="0032425A">
      <w:pPr>
        <w:keepNext/>
        <w:autoSpaceDE w:val="0"/>
        <w:autoSpaceDN w:val="0"/>
        <w:rPr>
          <w:vanish/>
          <w:sz w:val="2"/>
          <w:szCs w:val="2"/>
        </w:rPr>
      </w:pPr>
    </w:p>
    <w:tbl>
      <w:tblPr>
        <w:tblW w:w="10488" w:type="dxa"/>
        <w:tblInd w:w="56" w:type="dxa"/>
        <w:tblLayout w:type="fixed"/>
        <w:tblCellMar>
          <w:left w:w="0" w:type="dxa"/>
          <w:right w:w="0" w:type="dxa"/>
        </w:tblCellMar>
        <w:tblLook w:val="04A0" w:firstRow="1" w:lastRow="0" w:firstColumn="1" w:lastColumn="0" w:noHBand="0" w:noVBand="1"/>
      </w:tblPr>
      <w:tblGrid>
        <w:gridCol w:w="4989"/>
        <w:gridCol w:w="510"/>
        <w:gridCol w:w="4989"/>
      </w:tblGrid>
      <w:tr w:rsidR="0032425A" w14:paraId="25DEAD12" w14:textId="77777777">
        <w:tc>
          <w:tcPr>
            <w:tcW w:w="4989" w:type="dxa"/>
            <w:shd w:val="clear" w:color="auto" w:fill="auto"/>
            <w:noWrap/>
            <w:tcMar>
              <w:left w:w="56" w:type="dxa"/>
              <w:right w:w="56" w:type="dxa"/>
            </w:tcMar>
          </w:tcPr>
          <w:p w14:paraId="19EAE81F" w14:textId="77777777" w:rsidR="0032425A" w:rsidRDefault="00ED14A1">
            <w:pPr>
              <w:keepNext/>
              <w:keepLines/>
              <w:autoSpaceDE w:val="0"/>
              <w:autoSpaceDN w:val="0"/>
              <w:jc w:val="both"/>
            </w:pPr>
            <w:r>
              <w:rPr>
                <w:rFonts w:ascii="Arial" w:eastAsia="Arial" w:hAnsi="Arial" w:cs="Arial"/>
                <w:b/>
                <w:color w:val="000000"/>
                <w:sz w:val="16"/>
              </w:rPr>
              <w:t>Fund Depositary:</w:t>
            </w:r>
            <w:r>
              <w:rPr>
                <w:rFonts w:ascii="Arial" w:eastAsia="Arial" w:hAnsi="Arial" w:cs="Arial"/>
                <w:color w:val="000000"/>
                <w:sz w:val="16"/>
              </w:rPr>
              <w:t xml:space="preserve"> Northern Trust Fiduciary Services (Ireland) Limited</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Further Information:</w:t>
            </w:r>
            <w:r>
              <w:rPr>
                <w:rFonts w:ascii="Arial" w:eastAsia="Arial" w:hAnsi="Arial" w:cs="Arial"/>
                <w:color w:val="000000"/>
                <w:sz w:val="16"/>
              </w:rPr>
              <w:t xml:space="preserve"> Copies of the Prospectus and the annual and half-yearly reports of Prescient Global Funds ICAV. (the "ICAV") are available in English and may be obtained, free of charge, from "the Manager" at 35 Merrion Sq East, Dublin 2, Ireland or by visiting www.prescient.ie.</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Share Price / NAV:</w:t>
            </w:r>
            <w:r>
              <w:rPr>
                <w:rFonts w:ascii="Arial" w:eastAsia="Arial" w:hAnsi="Arial" w:cs="Arial"/>
                <w:color w:val="000000"/>
                <w:sz w:val="16"/>
              </w:rPr>
              <w:t xml:space="preserve"> The net asset value of the Fund is calculated in USD. The unit prices are published in USD on each Business Day. The prices are available from the Investment Manager and the Manager during normal business hours and will be published on Prescient Fund Services (Ireland)'s website at www.prescient.ie.</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Taxation:</w:t>
            </w:r>
            <w:r>
              <w:rPr>
                <w:rFonts w:ascii="Arial" w:eastAsia="Arial" w:hAnsi="Arial" w:cs="Arial"/>
                <w:color w:val="000000"/>
                <w:sz w:val="16"/>
              </w:rPr>
              <w:t xml:space="preserve"> The Fund is subject to tax laws and regulations of Ireland. Depending on your home country of residence, this might have an impact on your investment. For further details, please speak to an adviser.</w:t>
            </w:r>
          </w:p>
        </w:tc>
        <w:tc>
          <w:tcPr>
            <w:tcW w:w="510" w:type="dxa"/>
            <w:shd w:val="clear" w:color="auto" w:fill="auto"/>
            <w:noWrap/>
            <w:tcMar>
              <w:left w:w="56" w:type="dxa"/>
              <w:right w:w="56" w:type="dxa"/>
            </w:tcMar>
            <w:vAlign w:val="center"/>
          </w:tcPr>
          <w:p w14:paraId="63D7AB13" w14:textId="77777777" w:rsidR="0032425A" w:rsidRDefault="0032425A">
            <w:pPr>
              <w:keepNext/>
              <w:autoSpaceDE w:val="0"/>
              <w:autoSpaceDN w:val="0"/>
              <w:jc w:val="both"/>
              <w:rPr>
                <w:rFonts w:ascii="Arial" w:eastAsia="Arial" w:hAnsi="Arial" w:cs="Arial"/>
                <w:color w:val="000000"/>
                <w:sz w:val="16"/>
              </w:rPr>
            </w:pPr>
          </w:p>
        </w:tc>
        <w:tc>
          <w:tcPr>
            <w:tcW w:w="4989" w:type="dxa"/>
            <w:shd w:val="clear" w:color="auto" w:fill="auto"/>
            <w:noWrap/>
            <w:tcMar>
              <w:left w:w="56" w:type="dxa"/>
              <w:right w:w="56" w:type="dxa"/>
            </w:tcMar>
          </w:tcPr>
          <w:p w14:paraId="63CAF27C" w14:textId="77777777" w:rsidR="0032425A" w:rsidRDefault="00ED14A1">
            <w:pPr>
              <w:keepNext/>
              <w:keepLines/>
              <w:autoSpaceDE w:val="0"/>
              <w:autoSpaceDN w:val="0"/>
              <w:jc w:val="both"/>
            </w:pPr>
            <w:r>
              <w:rPr>
                <w:rFonts w:ascii="Arial" w:eastAsia="Arial" w:hAnsi="Arial" w:cs="Arial"/>
                <w:b/>
                <w:color w:val="000000"/>
                <w:sz w:val="16"/>
              </w:rPr>
              <w:t>Switches:</w:t>
            </w:r>
            <w:r>
              <w:rPr>
                <w:rFonts w:ascii="Arial" w:eastAsia="Arial" w:hAnsi="Arial" w:cs="Arial"/>
                <w:color w:val="000000"/>
                <w:sz w:val="16"/>
              </w:rPr>
              <w:t xml:space="preserve"> You are entitled to switch your shares to shares in the same class of another sub-Fund of the ICAV, subject to the sub-Fund's switching charge - see under "Charges for this Fund". Please refer to the Prospectus for further information on how to switch.</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Fund Structure:</w:t>
            </w:r>
            <w:r>
              <w:rPr>
                <w:rFonts w:ascii="Arial" w:eastAsia="Arial" w:hAnsi="Arial" w:cs="Arial"/>
                <w:color w:val="000000"/>
                <w:sz w:val="16"/>
              </w:rPr>
              <w:t xml:space="preserve"> This document describes a share class of Sigma Select Global Leaders Fund, a sub-Fund of the ICAV. The assets and liabilities of each sub-Fund of the ICAV are segregated subject to the provisions of Irish law. The Prospectus and Periodic Reports are prepared for the entire ICAV. You can find out more information about the ICAV in the Prospectus.</w:t>
            </w:r>
          </w:p>
          <w:p w14:paraId="7BC55F2D" w14:textId="77777777" w:rsidR="0032425A" w:rsidRDefault="00ED14A1">
            <w:pPr>
              <w:keepNext/>
              <w:keepLines/>
              <w:autoSpaceDE w:val="0"/>
              <w:autoSpaceDN w:val="0"/>
              <w:jc w:val="both"/>
            </w:pPr>
            <w:r>
              <w:rPr>
                <w:rFonts w:ascii="Arial" w:eastAsia="Arial" w:hAnsi="Arial" w:cs="Arial"/>
                <w:color w:val="000000"/>
                <w:sz w:val="16"/>
              </w:rPr>
              <w:t> </w:t>
            </w:r>
          </w:p>
          <w:p w14:paraId="5DE14346" w14:textId="77777777" w:rsidR="0032425A" w:rsidRDefault="00ED14A1">
            <w:pPr>
              <w:keepNext/>
              <w:keepLines/>
              <w:autoSpaceDE w:val="0"/>
              <w:autoSpaceDN w:val="0"/>
              <w:jc w:val="both"/>
            </w:pPr>
            <w:r>
              <w:rPr>
                <w:rFonts w:ascii="Arial" w:eastAsia="Arial" w:hAnsi="Arial" w:cs="Arial"/>
                <w:b/>
                <w:color w:val="000000"/>
                <w:sz w:val="16"/>
              </w:rPr>
              <w:t>Remuneration:</w:t>
            </w:r>
            <w:r>
              <w:rPr>
                <w:rFonts w:ascii="Arial" w:eastAsia="Arial" w:hAnsi="Arial" w:cs="Arial"/>
                <w:color w:val="000000"/>
                <w:sz w:val="16"/>
              </w:rPr>
              <w:t xml:space="preserve"> 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www.prescient.ie. A paper copy of the remuneration policy will be made available free of charge upon request from the Manager.</w:t>
            </w:r>
            <w:r>
              <w:rPr>
                <w:rFonts w:ascii="Arial" w:eastAsia="Arial" w:hAnsi="Arial" w:cs="Arial"/>
                <w:color w:val="000000"/>
                <w:sz w:val="16"/>
              </w:rPr>
              <w:br/>
            </w:r>
            <w:r>
              <w:rPr>
                <w:rFonts w:ascii="Arial" w:eastAsia="Arial" w:hAnsi="Arial" w:cs="Arial"/>
                <w:color w:val="000000"/>
                <w:sz w:val="16"/>
              </w:rPr>
              <w:br/>
            </w:r>
            <w:r>
              <w:rPr>
                <w:rFonts w:ascii="Arial" w:eastAsia="Arial" w:hAnsi="Arial" w:cs="Arial"/>
                <w:color w:val="000000"/>
                <w:sz w:val="16"/>
              </w:rPr>
              <w:br/>
            </w:r>
            <w:r>
              <w:rPr>
                <w:rFonts w:ascii="Arial" w:eastAsia="Arial" w:hAnsi="Arial" w:cs="Arial"/>
                <w:b/>
                <w:color w:val="000000"/>
                <w:sz w:val="16"/>
              </w:rPr>
              <w:t>Responsibility for Information:</w:t>
            </w:r>
            <w:r>
              <w:rPr>
                <w:rFonts w:ascii="Arial" w:eastAsia="Arial" w:hAnsi="Arial" w:cs="Arial"/>
                <w:color w:val="000000"/>
                <w:sz w:val="16"/>
              </w:rPr>
              <w:t xml:space="preserve"> The Manager may be held liable solely on the basis of any statement contained in this document that is misleading, inaccurate or inconsistent with the relevant parts of the Prospectus for the Fund.</w:t>
            </w:r>
          </w:p>
        </w:tc>
      </w:tr>
      <w:tr w:rsidR="0032425A" w14:paraId="7268B3CC" w14:textId="77777777">
        <w:trPr>
          <w:trHeight w:hRule="exact" w:val="226"/>
        </w:trPr>
        <w:tc>
          <w:tcPr>
            <w:tcW w:w="10488" w:type="dxa"/>
            <w:gridSpan w:val="3"/>
            <w:shd w:val="clear" w:color="auto" w:fill="auto"/>
            <w:noWrap/>
            <w:tcMar>
              <w:left w:w="56" w:type="dxa"/>
              <w:right w:w="56" w:type="dxa"/>
            </w:tcMar>
            <w:vAlign w:val="center"/>
          </w:tcPr>
          <w:p w14:paraId="6AA260CE" w14:textId="77777777" w:rsidR="0032425A" w:rsidRDefault="0032425A">
            <w:pPr>
              <w:keepNext/>
              <w:autoSpaceDE w:val="0"/>
              <w:autoSpaceDN w:val="0"/>
              <w:jc w:val="both"/>
              <w:rPr>
                <w:rFonts w:ascii="Arial" w:eastAsia="Arial" w:hAnsi="Arial" w:cs="Arial"/>
                <w:color w:val="000000"/>
                <w:sz w:val="16"/>
              </w:rPr>
            </w:pPr>
          </w:p>
        </w:tc>
      </w:tr>
      <w:tr w:rsidR="0032425A" w14:paraId="65FFC861" w14:textId="77777777">
        <w:tc>
          <w:tcPr>
            <w:tcW w:w="10488" w:type="dxa"/>
            <w:gridSpan w:val="3"/>
            <w:shd w:val="clear" w:color="auto" w:fill="auto"/>
            <w:noWrap/>
            <w:tcMar>
              <w:left w:w="56" w:type="dxa"/>
              <w:right w:w="56" w:type="dxa"/>
            </w:tcMar>
            <w:vAlign w:val="center"/>
          </w:tcPr>
          <w:p w14:paraId="1C50E221" w14:textId="603EF84D" w:rsidR="0032425A" w:rsidRDefault="00ED14A1">
            <w:pPr>
              <w:keepLines/>
              <w:autoSpaceDE w:val="0"/>
              <w:autoSpaceDN w:val="0"/>
            </w:pPr>
            <w:r>
              <w:rPr>
                <w:rFonts w:ascii="Arial" w:eastAsia="Arial" w:hAnsi="Arial" w:cs="Arial"/>
                <w:color w:val="000000"/>
                <w:sz w:val="16"/>
              </w:rPr>
              <w:t xml:space="preserve">The ICAV is authorised in Ireland and approved by the Central Bank of Ireland. The Manager is authorised in Ireland and regulated by the Central Bank of Ireland. </w:t>
            </w:r>
            <w:r>
              <w:rPr>
                <w:rFonts w:ascii="Arial" w:eastAsia="Arial" w:hAnsi="Arial" w:cs="Arial"/>
                <w:color w:val="000000"/>
                <w:sz w:val="16"/>
              </w:rPr>
              <w:br/>
              <w:t>This Key Information Document is accurate as at</w:t>
            </w:r>
            <w:r w:rsidR="005A5CD6">
              <w:rPr>
                <w:rFonts w:ascii="Arial" w:eastAsia="Arial" w:hAnsi="Arial" w:cs="Arial"/>
                <w:color w:val="000000"/>
                <w:sz w:val="16"/>
              </w:rPr>
              <w:t xml:space="preserve"> 6 September </w:t>
            </w:r>
            <w:r>
              <w:rPr>
                <w:rFonts w:ascii="Arial" w:eastAsia="Arial" w:hAnsi="Arial" w:cs="Arial"/>
                <w:color w:val="000000"/>
                <w:sz w:val="16"/>
              </w:rPr>
              <w:t>2022. </w:t>
            </w:r>
          </w:p>
        </w:tc>
      </w:tr>
    </w:tbl>
    <w:p w14:paraId="20B71A84" w14:textId="77777777" w:rsidR="0032425A" w:rsidRDefault="0032425A">
      <w:pPr>
        <w:autoSpaceDE w:val="0"/>
        <w:autoSpaceDN w:val="0"/>
        <w:rPr>
          <w:sz w:val="2"/>
          <w:szCs w:val="2"/>
        </w:rPr>
      </w:pPr>
    </w:p>
    <w:sectPr w:rsidR="0032425A">
      <w:headerReference w:type="default" r:id="rId11"/>
      <w:footerReference w:type="default" r:id="rId12"/>
      <w:footnotePr>
        <w:numRestart w:val="eachSect"/>
      </w:footnotePr>
      <w:pgSz w:w="11905" w:h="16837"/>
      <w:pgMar w:top="566" w:right="793" w:bottom="0" w:left="566"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39144" w14:textId="77777777" w:rsidR="00A5208B" w:rsidRDefault="00ED14A1">
      <w:r>
        <w:separator/>
      </w:r>
    </w:p>
  </w:endnote>
  <w:endnote w:type="continuationSeparator" w:id="0">
    <w:p w14:paraId="4BE46FF8" w14:textId="77777777" w:rsidR="00A5208B" w:rsidRDefault="00ED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0786" w14:textId="77777777" w:rsidR="0032425A" w:rsidRDefault="0032425A">
    <w:pPr>
      <w:keepNext/>
      <w:autoSpaceDE w:val="0"/>
      <w:autoSpaceDN w:val="0"/>
      <w:rPr>
        <w:vanish/>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3B12" w14:textId="77777777" w:rsidR="0032425A" w:rsidRDefault="0032425A">
    <w:pPr>
      <w:keepNext/>
      <w:autoSpaceDE w:val="0"/>
      <w:autoSpaceDN w:val="0"/>
      <w:rPr>
        <w:vanish/>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BD3F" w14:textId="77777777" w:rsidR="0032425A" w:rsidRDefault="0032425A">
      <w:pPr>
        <w:pStyle w:val="Footer"/>
        <w:autoSpaceDE w:val="0"/>
        <w:autoSpaceDN w:val="0"/>
      </w:pPr>
    </w:p>
  </w:footnote>
  <w:footnote w:type="continuationSeparator" w:id="0">
    <w:p w14:paraId="29FC6848" w14:textId="77777777" w:rsidR="0032425A" w:rsidRDefault="00ED1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F427" w14:textId="77777777" w:rsidR="0032425A" w:rsidRDefault="0032425A">
    <w:pPr>
      <w:keepNext/>
      <w:autoSpaceDE w:val="0"/>
      <w:autoSpaceDN w:val="0"/>
      <w:rPr>
        <w:vanish/>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A461" w14:textId="77777777" w:rsidR="0032425A" w:rsidRDefault="0032425A">
    <w:pPr>
      <w:keepNext/>
      <w:autoSpaceDE w:val="0"/>
      <w:autoSpaceDN w:val="0"/>
      <w:rPr>
        <w:vanish/>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5540"/>
    <w:multiLevelType w:val="multilevel"/>
    <w:tmpl w:val="819A78AA"/>
    <w:lvl w:ilvl="0">
      <w:start w:val="1"/>
      <w:numFmt w:val="bullet"/>
      <w:lvlText w:val="·"/>
      <w:lvlJc w:val="left"/>
      <w:pPr>
        <w:ind w:left="357" w:hanging="357"/>
      </w:pPr>
      <w:rPr>
        <w:rFonts w:ascii="Symbol" w:eastAsia="Symbol" w:hAnsi="Symbol" w:cs="Symbol" w:hint="default"/>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76203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enableOpenTypeFeatures" w:uri="http://schemas.microsoft.com/office/word" w:val="1"/>
    <w:compatSetting w:name="useWord2013TrackBottomHyphenation" w:uri="http://schemas.microsoft.com/office/word" w:val="1"/>
  </w:compat>
  <w:rsids>
    <w:rsidRoot w:val="0032425A"/>
    <w:rsid w:val="0032425A"/>
    <w:rsid w:val="005A5CD6"/>
    <w:rsid w:val="00A5208B"/>
    <w:rsid w:val="00ED14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45B0"/>
  <w15:docId w15:val="{E2BE2E1B-0199-495F-B9CB-79AEBA0DA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c:style val="2"/>
  <c:chart>
    <c:autoTitleDeleted val="1"/>
    <c:plotArea>
      <c:layout>
        <c:manualLayout>
          <c:xMode val="edge"/>
          <c:yMode val="edge"/>
          <c:x val="0.05"/>
          <c:y val="0.05"/>
          <c:w val="0.91"/>
          <c:h val="0.82"/>
        </c:manualLayout>
      </c:layout>
      <c:barChart>
        <c:barDir val="col"/>
        <c:grouping val="clustered"/>
        <c:varyColors val="0"/>
        <c:ser>
          <c:idx val="0"/>
          <c:order val="0"/>
          <c:tx>
            <c:strRef>
              <c:f>Data!$B$1</c:f>
              <c:strCache>
                <c:ptCount val="1"/>
                <c:pt idx="0">
                  <c:v>Fund Return %</c:v>
                </c:pt>
              </c:strCache>
            </c:strRef>
          </c:tx>
          <c:spPr>
            <a:solidFill>
              <a:srgbClr val="616161"/>
            </a:solidFill>
            <a:ln>
              <a:noFill/>
            </a:ln>
          </c:spPr>
          <c:invertIfNegative val="0"/>
          <c:cat>
            <c:strRef>
              <c:f>Data!$A$2:$A$3</c:f>
              <c:strCache>
                <c:ptCount val="2"/>
                <c:pt idx="0">
                  <c:v>2020</c:v>
                </c:pt>
                <c:pt idx="1">
                  <c:v>2021</c:v>
                </c:pt>
              </c:strCache>
            </c:strRef>
          </c:cat>
          <c:val>
            <c:numRef>
              <c:f>Data!$B$2:$B$3</c:f>
              <c:numCache>
                <c:formatCode>General</c:formatCode>
                <c:ptCount val="2"/>
                <c:pt idx="1">
                  <c:v>7.5660362371929999</c:v>
                </c:pt>
              </c:numCache>
            </c:numRef>
          </c:val>
          <c:extLst xmlns:c16="http://schemas.microsoft.com/office/drawing/2014/chart">
            <c:ext xmlns:c16="http://schemas.microsoft.com/office/drawing/2014/chart" uri="{C3380CC4-5D6E-409C-BE32-E72D297353CC}">
              <c16:uniqueId val="{00000000-45F0-400F-8B93-2E08E1D01653}"/>
            </c:ext>
          </c:extLst>
        </c:ser>
        <c:ser>
          <c:idx val="1"/>
          <c:order val="1"/>
          <c:tx>
            <c:strRef>
              <c:f>Data!$C$1</c:f>
              <c:strCache>
                <c:ptCount val="1"/>
                <c:pt idx="0">
                  <c:v>MSCI AC World Daily TR Net USD</c:v>
                </c:pt>
              </c:strCache>
            </c:strRef>
          </c:tx>
          <c:spPr>
            <a:solidFill>
              <a:srgbClr val="B3B3B3"/>
            </a:solidFill>
            <a:ln>
              <a:noFill/>
            </a:ln>
          </c:spPr>
          <c:invertIfNegative val="0"/>
          <c:cat>
            <c:strRef>
              <c:f>Data!$A$2:$A$3</c:f>
              <c:strCache>
                <c:ptCount val="2"/>
                <c:pt idx="0">
                  <c:v>2020</c:v>
                </c:pt>
                <c:pt idx="1">
                  <c:v>2021</c:v>
                </c:pt>
              </c:strCache>
            </c:strRef>
          </c:cat>
          <c:val>
            <c:numRef>
              <c:f>Data!$C$2:$C$3</c:f>
              <c:numCache>
                <c:formatCode>General</c:formatCode>
                <c:ptCount val="2"/>
                <c:pt idx="1">
                  <c:v>18.537356152859001</c:v>
                </c:pt>
              </c:numCache>
            </c:numRef>
          </c:val>
          <c:extLst xmlns:c16="http://schemas.microsoft.com/office/drawing/2014/chart">
            <c:ext xmlns:c16="http://schemas.microsoft.com/office/drawing/2014/chart" uri="{C3380CC4-5D6E-409C-BE32-E72D297353CC}">
              <c16:uniqueId val="{00000001-45F0-400F-8B93-2E08E1D01653}"/>
            </c:ext>
          </c:extLst>
        </c:ser>
        <c:dLbls>
          <c:showLegendKey val="0"/>
          <c:showVal val="0"/>
          <c:showCatName val="0"/>
          <c:showSerName val="0"/>
          <c:showPercent val="0"/>
          <c:showBubbleSize val="0"/>
        </c:dLbls>
        <c:gapWidth val="150"/>
        <c:axId val="1"/>
        <c:axId val="2"/>
      </c:barChart>
      <c:catAx>
        <c:axId val="1"/>
        <c:scaling>
          <c:orientation val="minMax"/>
        </c:scaling>
        <c:delete val="0"/>
        <c:axPos val="b"/>
        <c:numFmt formatCode="[$-409]General" sourceLinked="0"/>
        <c:majorTickMark val="out"/>
        <c:minorTickMark val="none"/>
        <c:tickLblPos val="low"/>
        <c:spPr>
          <a:ln w="12700">
            <a:solidFill>
              <a:srgbClr val="D3D3D3"/>
            </a:solidFill>
            <a:prstDash val="solid"/>
          </a:ln>
        </c:spPr>
        <c:txPr>
          <a:bodyPr rot="0"/>
          <a:lstStyle/>
          <a:p>
            <a:pPr>
              <a:defRPr sz="600" b="0" i="0" u="none" strike="noStrike" baseline="0">
                <a:solidFill>
                  <a:srgbClr val="000000"/>
                </a:solidFill>
                <a:latin typeface="Arial"/>
              </a:defRPr>
            </a:pPr>
            <a:endParaRPr lang="en-US"/>
          </a:p>
        </c:txPr>
        <c:crossAx val="2"/>
        <c:crosses val="autoZero"/>
        <c:auto val="0"/>
        <c:lblAlgn val="ctr"/>
        <c:lblOffset val="100"/>
        <c:tickLblSkip val="1"/>
        <c:noMultiLvlLbl val="1"/>
      </c:catAx>
      <c:valAx>
        <c:axId val="2"/>
        <c:scaling>
          <c:orientation val="minMax"/>
          <c:max val="20"/>
          <c:min val="0"/>
        </c:scaling>
        <c:delete val="0"/>
        <c:axPos val="l"/>
        <c:majorGridlines>
          <c:spPr>
            <a:ln w="12700">
              <a:solidFill>
                <a:srgbClr val="D3D3D3"/>
              </a:solidFill>
              <a:prstDash val="solid"/>
            </a:ln>
          </c:spPr>
        </c:majorGridlines>
        <c:title>
          <c:tx>
            <c:rich>
              <a:bodyPr rot="-5400000" vert="horz"/>
              <a:lstStyle/>
              <a:p>
                <a:pPr>
                  <a:defRPr sz="600" b="0" i="0" u="none" strike="noStrike" baseline="0">
                    <a:solidFill>
                      <a:srgbClr val="000000"/>
                    </a:solidFill>
                    <a:latin typeface="Arial"/>
                  </a:defRPr>
                </a:pPr>
                <a:r>
                  <a:rPr lang="en-US"/>
                  <a:t>% Returns</a:t>
                </a:r>
              </a:p>
            </c:rich>
          </c:tx>
          <c:overlay val="1"/>
        </c:title>
        <c:numFmt formatCode="[$-409]#,##0.0&quot;%&quot;" sourceLinked="0"/>
        <c:majorTickMark val="out"/>
        <c:minorTickMark val="none"/>
        <c:tickLblPos val="low"/>
        <c:spPr>
          <a:ln>
            <a:noFill/>
          </a:ln>
        </c:spPr>
        <c:txPr>
          <a:bodyPr rot="0"/>
          <a:lstStyle/>
          <a:p>
            <a:pPr>
              <a:defRPr sz="600" b="0" i="0" u="none" strike="noStrike" baseline="0">
                <a:solidFill>
                  <a:srgbClr val="000000"/>
                </a:solidFill>
                <a:latin typeface="Arial"/>
              </a:defRPr>
            </a:pPr>
            <a:endParaRPr lang="en-US"/>
          </a:p>
        </c:txPr>
        <c:crossAx val="1"/>
        <c:crosses val="autoZero"/>
        <c:crossBetween val="between"/>
        <c:majorUnit val="4"/>
        <c:minorUnit val="1"/>
      </c:valAx>
      <c:spPr>
        <a:noFill/>
        <a:ln>
          <a:noFill/>
        </a:ln>
      </c:spPr>
    </c:plotArea>
    <c:legend>
      <c:legendPos val="b"/>
      <c:overlay val="1"/>
      <c:spPr>
        <a:noFill/>
        <a:ln>
          <a:noFill/>
        </a:ln>
      </c:spPr>
      <c:txPr>
        <a:bodyPr/>
        <a:lstStyle/>
        <a:p>
          <a:pPr>
            <a:defRPr sz="600" b="0" i="0" u="none" strike="noStrike" baseline="0">
              <a:solidFill>
                <a:srgbClr val="000000"/>
              </a:solidFill>
              <a:latin typeface="Arial"/>
            </a:defRPr>
          </a:pPr>
          <a:endParaRPr lang="en-US"/>
        </a:p>
      </c:txPr>
    </c:legend>
    <c:plotVisOnly val="1"/>
    <c:dispBlanksAs val="gap"/>
    <c:showDLblsOverMax val="1"/>
  </c:chart>
  <c:spPr>
    <a:noFill/>
    <a:ln w="12700">
      <a:solidFill>
        <a:srgbClr val="868686"/>
      </a:solidFill>
      <a:prstDash val="solid"/>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0.02004</cdr:x>
      <cdr:y>0.02276</cdr:y>
    </cdr:from>
    <cdr:to>
      <cdr:x>1</cdr:x>
      <cdr:y>0.06238</cdr:y>
    </cdr:to>
    <cdr:sp macro="" textlink="">
      <cdr:nvSpPr>
        <cdr:cNvPr id="2" name="TextBox 1"/>
        <cdr:cNvSpPr txBox="1"/>
      </cdr:nvSpPr>
      <cdr:spPr>
        <a:xfrm xmlns:a="http://schemas.openxmlformats.org/drawingml/2006/main">
          <a:off x="63500" y="50800"/>
          <a:ext cx="3104500" cy="88422"/>
        </a:xfrm>
        <a:prstGeom xmlns:a="http://schemas.openxmlformats.org/drawingml/2006/main" prst="rect">
          <a:avLst/>
        </a:prstGeom>
        <a:solidFill xmlns:a="http://schemas.openxmlformats.org/drawingml/2006/main">
          <a:scrgbClr r="0" g="0" b="0">
            <a:alpha val="0"/>
          </a:scrgbClr>
        </a:solidFill>
      </cdr:spPr>
      <cdr:txBody>
        <a:bodyPr xmlns:a="http://schemas.openxmlformats.org/drawingml/2006/main" vertOverflow="clip" vert="horz" wrap="square" lIns="0" tIns="0" rIns="0" bIns="0" rtlCol="0" anchor="ctr">
          <a:spAutoFit/>
        </a:bodyPr>
        <a:lstStyle xmlns:a="http://schemas.openxmlformats.org/drawingml/2006/main"/>
        <a:p xmlns:a="http://schemas.openxmlformats.org/drawingml/2006/main">
          <a:pPr algn="ctr"/>
          <a:r>
            <a:rPr lang="en-US" sz="600" b="0" i="0" u="none" strike="noStrike" baseline="0">
              <a:solidFill>
                <a:srgbClr val="000000"/>
              </a:solidFill>
              <a:latin typeface="Arial" panose="020B0604020202020204" pitchFamily="34" charset="0"/>
            </a:rPr>
            <a:t>Sigma Select Glbl Leaders Cl 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1624</Words>
  <Characters>9257</Characters>
  <Application>Microsoft Office Word</Application>
  <DocSecurity>0</DocSecurity>
  <Lines>77</Lines>
  <Paragraphs>21</Paragraphs>
  <ScaleCrop>false</ScaleCrop>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Lally</cp:lastModifiedBy>
  <cp:revision>3</cp:revision>
  <dcterms:created xsi:type="dcterms:W3CDTF">2022-02-17T16:47:00Z</dcterms:created>
  <dcterms:modified xsi:type="dcterms:W3CDTF">2022-09-06T08:52:00Z</dcterms:modified>
</cp:coreProperties>
</file>