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46D74" w14:textId="6C556741" w:rsidR="0053036B" w:rsidRDefault="0053036B" w:rsidP="008B4434">
      <w:pPr>
        <w:pStyle w:val="BodyText2"/>
        <w:spacing w:after="0" w:line="312" w:lineRule="auto"/>
        <w:jc w:val="both"/>
        <w:rPr>
          <w:b/>
          <w:sz w:val="36"/>
          <w:szCs w:val="36"/>
        </w:rPr>
      </w:pPr>
    </w:p>
    <w:p w14:paraId="31F7D7FA" w14:textId="6AC1EED7" w:rsidR="0053036B" w:rsidRDefault="00851715" w:rsidP="008B4434">
      <w:pPr>
        <w:pStyle w:val="BodyText2"/>
        <w:spacing w:after="0" w:line="312" w:lineRule="auto"/>
        <w:jc w:val="both"/>
        <w:rPr>
          <w:b/>
          <w:sz w:val="36"/>
          <w:szCs w:val="36"/>
        </w:rPr>
      </w:pPr>
      <w:r>
        <w:rPr>
          <w:noProof/>
        </w:rPr>
        <w:drawing>
          <wp:anchor distT="0" distB="0" distL="114300" distR="114300" simplePos="0" relativeHeight="251658752" behindDoc="0" locked="0" layoutInCell="1" allowOverlap="1" wp14:anchorId="04EF4AC3" wp14:editId="5178A31E">
            <wp:simplePos x="0" y="0"/>
            <wp:positionH relativeFrom="margin">
              <wp:posOffset>784848</wp:posOffset>
            </wp:positionH>
            <wp:positionV relativeFrom="paragraph">
              <wp:posOffset>12077</wp:posOffset>
            </wp:positionV>
            <wp:extent cx="4070002" cy="1369057"/>
            <wp:effectExtent l="0" t="0" r="698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70002" cy="1369057"/>
                    </a:xfrm>
                    <a:prstGeom prst="rect">
                      <a:avLst/>
                    </a:prstGeom>
                  </pic:spPr>
                </pic:pic>
              </a:graphicData>
            </a:graphic>
            <wp14:sizeRelH relativeFrom="margin">
              <wp14:pctWidth>0</wp14:pctWidth>
            </wp14:sizeRelH>
            <wp14:sizeRelV relativeFrom="margin">
              <wp14:pctHeight>0</wp14:pctHeight>
            </wp14:sizeRelV>
          </wp:anchor>
        </w:drawing>
      </w:r>
    </w:p>
    <w:p w14:paraId="703BD63B" w14:textId="3775C7DB" w:rsidR="00851715" w:rsidRDefault="00851715" w:rsidP="008B4434">
      <w:pPr>
        <w:pStyle w:val="BodyText2"/>
        <w:spacing w:after="0" w:line="312" w:lineRule="auto"/>
        <w:jc w:val="both"/>
        <w:rPr>
          <w:b/>
          <w:sz w:val="36"/>
          <w:szCs w:val="36"/>
        </w:rPr>
      </w:pPr>
    </w:p>
    <w:p w14:paraId="23CF78CB" w14:textId="38C6BE78" w:rsidR="00851715" w:rsidRDefault="00851715" w:rsidP="008B4434">
      <w:pPr>
        <w:pStyle w:val="BodyText2"/>
        <w:spacing w:after="0" w:line="312" w:lineRule="auto"/>
        <w:jc w:val="both"/>
        <w:rPr>
          <w:b/>
          <w:sz w:val="36"/>
          <w:szCs w:val="36"/>
        </w:rPr>
      </w:pPr>
    </w:p>
    <w:p w14:paraId="3668C2BF" w14:textId="6C03D720" w:rsidR="00851715" w:rsidRDefault="00851715" w:rsidP="008B4434">
      <w:pPr>
        <w:pStyle w:val="BodyText2"/>
        <w:spacing w:after="0" w:line="312" w:lineRule="auto"/>
        <w:jc w:val="both"/>
        <w:rPr>
          <w:b/>
          <w:sz w:val="36"/>
          <w:szCs w:val="36"/>
        </w:rPr>
      </w:pPr>
    </w:p>
    <w:p w14:paraId="6A60DA3D" w14:textId="4E6A6383" w:rsidR="00851715" w:rsidRDefault="00851715" w:rsidP="008B4434">
      <w:pPr>
        <w:pStyle w:val="BodyText2"/>
        <w:spacing w:after="0" w:line="312" w:lineRule="auto"/>
        <w:jc w:val="both"/>
        <w:rPr>
          <w:b/>
          <w:sz w:val="36"/>
          <w:szCs w:val="36"/>
        </w:rPr>
      </w:pPr>
    </w:p>
    <w:p w14:paraId="0C256DB0" w14:textId="2A7D140B" w:rsidR="008B4434" w:rsidRPr="00DF6D91" w:rsidRDefault="008B4434" w:rsidP="008B4434">
      <w:pPr>
        <w:pStyle w:val="BodyText2"/>
        <w:spacing w:after="0" w:line="312" w:lineRule="auto"/>
        <w:jc w:val="both"/>
        <w:rPr>
          <w:b/>
          <w:sz w:val="36"/>
          <w:szCs w:val="36"/>
        </w:rPr>
      </w:pPr>
      <w:r>
        <w:rPr>
          <w:b/>
          <w:sz w:val="36"/>
          <w:szCs w:val="36"/>
        </w:rPr>
        <w:t>Prescient Fund Services (Ireland) Limited</w:t>
      </w:r>
    </w:p>
    <w:p w14:paraId="12EDA094" w14:textId="070EB87F" w:rsidR="008B4434" w:rsidRPr="00DF6D91" w:rsidRDefault="008B4434" w:rsidP="008B4434">
      <w:pPr>
        <w:pStyle w:val="Heading2"/>
        <w:jc w:val="both"/>
        <w:rPr>
          <w:sz w:val="36"/>
          <w:szCs w:val="36"/>
        </w:rPr>
      </w:pPr>
    </w:p>
    <w:p w14:paraId="4136049D" w14:textId="0CD843A4" w:rsidR="008B4434" w:rsidRPr="00704616" w:rsidRDefault="008B4434" w:rsidP="008B4434">
      <w:pPr>
        <w:pStyle w:val="Heading2"/>
        <w:jc w:val="both"/>
        <w:rPr>
          <w:sz w:val="36"/>
          <w:szCs w:val="36"/>
        </w:rPr>
      </w:pPr>
      <w:r w:rsidRPr="00DF6D91">
        <w:rPr>
          <w:sz w:val="36"/>
          <w:szCs w:val="36"/>
        </w:rPr>
        <w:t>Remuneration Policy</w:t>
      </w:r>
    </w:p>
    <w:p w14:paraId="505BD360" w14:textId="5520EA1B" w:rsidR="008B4434" w:rsidRPr="004F1B06" w:rsidRDefault="008B4434" w:rsidP="008B4434">
      <w:pPr>
        <w:jc w:val="center"/>
        <w:rPr>
          <w:b/>
          <w:noProof/>
        </w:rPr>
      </w:pPr>
      <w:r>
        <w:rPr>
          <w:sz w:val="36"/>
          <w:szCs w:val="40"/>
        </w:rPr>
        <w:br w:type="page"/>
      </w:r>
      <w:r w:rsidRPr="004F1B06">
        <w:rPr>
          <w:b/>
          <w:noProof/>
        </w:rPr>
        <w:lastRenderedPageBreak/>
        <w:t>Remuneration Policy</w:t>
      </w:r>
    </w:p>
    <w:p w14:paraId="6DC8E9A2" w14:textId="77777777" w:rsidR="008B4434" w:rsidRPr="004F1B06" w:rsidRDefault="008B4434" w:rsidP="008B4434">
      <w:pPr>
        <w:jc w:val="both"/>
        <w:rPr>
          <w:b/>
          <w:noProof/>
        </w:rPr>
      </w:pPr>
    </w:p>
    <w:p w14:paraId="4FB7CAEF" w14:textId="77777777" w:rsidR="008B4434" w:rsidRPr="004F1B06" w:rsidRDefault="008B4434" w:rsidP="008B4434">
      <w:pPr>
        <w:jc w:val="both"/>
        <w:rPr>
          <w:b/>
          <w:noProof/>
        </w:rPr>
      </w:pPr>
      <w:r w:rsidRPr="004F1B06">
        <w:rPr>
          <w:b/>
          <w:noProof/>
        </w:rPr>
        <w:t>Introduction</w:t>
      </w:r>
    </w:p>
    <w:p w14:paraId="58F11FFE" w14:textId="77777777" w:rsidR="008B4434" w:rsidRPr="004F1B06" w:rsidRDefault="008B4434" w:rsidP="008B4434">
      <w:pPr>
        <w:jc w:val="both"/>
        <w:rPr>
          <w:noProof/>
        </w:rPr>
      </w:pPr>
    </w:p>
    <w:p w14:paraId="35654611" w14:textId="77777777" w:rsidR="008B4434" w:rsidRPr="004F1B06" w:rsidRDefault="008B4434" w:rsidP="008B4434">
      <w:pPr>
        <w:jc w:val="both"/>
        <w:rPr>
          <w:noProof/>
        </w:rPr>
      </w:pPr>
      <w:r w:rsidRPr="004F1B06">
        <w:rPr>
          <w:noProof/>
        </w:rPr>
        <w:t>In accordance with its obligations under the European Union (Alternative Investment Fund Managers) Regulations 2013 (including Schedule 2 thereto), the EU Commission Delegated Regulation (EU) No. 231/</w:t>
      </w:r>
      <w:r w:rsidR="00E30879">
        <w:rPr>
          <w:noProof/>
        </w:rPr>
        <w:t>2013</w:t>
      </w:r>
      <w:r w:rsidR="0053036B">
        <w:rPr>
          <w:noProof/>
        </w:rPr>
        <w:t>,</w:t>
      </w:r>
      <w:r w:rsidRPr="004F1B06">
        <w:rPr>
          <w:noProof/>
        </w:rPr>
        <w:t xml:space="preserve"> </w:t>
      </w:r>
      <w:r w:rsidR="00E30879">
        <w:t>Regulations 24A and 24B</w:t>
      </w:r>
      <w:r w:rsidR="00E30879" w:rsidRPr="00403739">
        <w:t xml:space="preserve"> </w:t>
      </w:r>
      <w:r w:rsidR="00E30879">
        <w:t xml:space="preserve">of </w:t>
      </w:r>
      <w:r w:rsidR="00E30879" w:rsidRPr="004F1B06">
        <w:rPr>
          <w:noProof/>
        </w:rPr>
        <w:t xml:space="preserve">the </w:t>
      </w:r>
      <w:hyperlink r:id="rId9" w:history="1">
        <w:r w:rsidR="00E30879">
          <w:rPr>
            <w:noProof/>
          </w:rPr>
          <w:t xml:space="preserve">European Communicities </w:t>
        </w:r>
        <w:r w:rsidR="00E30879" w:rsidRPr="00FF0D8B">
          <w:rPr>
            <w:noProof/>
          </w:rPr>
          <w:t>(Undertakings for Collective Investment in Transferable Securities) Regulations 201</w:t>
        </w:r>
        <w:r w:rsidR="00E30879">
          <w:rPr>
            <w:noProof/>
          </w:rPr>
          <w:t>1</w:t>
        </w:r>
      </w:hyperlink>
      <w:r w:rsidR="00E30879">
        <w:rPr>
          <w:noProof/>
        </w:rPr>
        <w:t xml:space="preserve">, </w:t>
      </w:r>
      <w:r w:rsidR="0053036B" w:rsidRPr="004F1B06">
        <w:rPr>
          <w:noProof/>
        </w:rPr>
        <w:t xml:space="preserve">the </w:t>
      </w:r>
      <w:hyperlink r:id="rId10" w:history="1">
        <w:r w:rsidR="0053036B" w:rsidRPr="00FF0D8B">
          <w:rPr>
            <w:noProof/>
          </w:rPr>
          <w:t>Central Bank (Supervision and Enforcement) Act 2013 (Section 48(1)) (Undertakings for Collective Investment in Transferable Securities) (Amendment) Regulations 201</w:t>
        </w:r>
        <w:r w:rsidR="00DF48F9">
          <w:rPr>
            <w:noProof/>
          </w:rPr>
          <w:t>9</w:t>
        </w:r>
      </w:hyperlink>
      <w:r w:rsidR="0053036B" w:rsidRPr="004F1B06">
        <w:rPr>
          <w:noProof/>
        </w:rPr>
        <w:t xml:space="preserve"> (</w:t>
      </w:r>
      <w:r w:rsidR="00E30879">
        <w:rPr>
          <w:noProof/>
        </w:rPr>
        <w:t xml:space="preserve">together </w:t>
      </w:r>
      <w:r w:rsidR="0053036B" w:rsidRPr="004F1B06">
        <w:rPr>
          <w:noProof/>
        </w:rPr>
        <w:t>the “</w:t>
      </w:r>
      <w:r w:rsidR="0053036B" w:rsidRPr="004F1B06">
        <w:rPr>
          <w:b/>
          <w:noProof/>
        </w:rPr>
        <w:t>Regulations</w:t>
      </w:r>
      <w:r w:rsidR="0053036B">
        <w:rPr>
          <w:noProof/>
        </w:rPr>
        <w:t xml:space="preserve">”), </w:t>
      </w:r>
      <w:r w:rsidR="008B4643">
        <w:rPr>
          <w:noProof/>
        </w:rPr>
        <w:t xml:space="preserve">the </w:t>
      </w:r>
      <w:r w:rsidR="008B4643" w:rsidRPr="009451B1">
        <w:t xml:space="preserve">ESMA  Guidelines on Sound Remuneration Policies </w:t>
      </w:r>
      <w:r w:rsidR="008B4643">
        <w:t xml:space="preserve">under the AIFMD </w:t>
      </w:r>
      <w:r w:rsidR="008B4643" w:rsidRPr="009451B1">
        <w:t>ESMA/</w:t>
      </w:r>
      <w:r w:rsidR="008B4643">
        <w:t>2013</w:t>
      </w:r>
      <w:r w:rsidR="008B4643" w:rsidRPr="009451B1">
        <w:t>/</w:t>
      </w:r>
      <w:r w:rsidR="008B4643">
        <w:t xml:space="preserve">232, as amended, </w:t>
      </w:r>
      <w:r w:rsidR="008B4643">
        <w:rPr>
          <w:noProof/>
        </w:rPr>
        <w:t>the</w:t>
      </w:r>
      <w:r w:rsidR="0053036B">
        <w:rPr>
          <w:noProof/>
        </w:rPr>
        <w:t xml:space="preserve"> </w:t>
      </w:r>
      <w:r w:rsidR="0053036B" w:rsidRPr="009451B1">
        <w:t xml:space="preserve">ESMA  Guidelines on Sound Remuneration Policies </w:t>
      </w:r>
      <w:r w:rsidR="0053036B">
        <w:t xml:space="preserve">under the UCITS Directive </w:t>
      </w:r>
      <w:r w:rsidR="008B4643" w:rsidRPr="009451B1">
        <w:t>ESMA/2016/</w:t>
      </w:r>
      <w:r w:rsidR="008B4643">
        <w:t xml:space="preserve">575 </w:t>
      </w:r>
      <w:r w:rsidR="0053036B">
        <w:t>(</w:t>
      </w:r>
      <w:r w:rsidR="008B4643">
        <w:t xml:space="preserve">together the </w:t>
      </w:r>
      <w:r w:rsidR="0053036B">
        <w:t>“</w:t>
      </w:r>
      <w:r w:rsidR="0053036B" w:rsidRPr="0053036B">
        <w:rPr>
          <w:b/>
        </w:rPr>
        <w:t>ESMA Guidelines</w:t>
      </w:r>
      <w:r w:rsidR="0053036B">
        <w:t>”)</w:t>
      </w:r>
      <w:r w:rsidR="0053036B">
        <w:rPr>
          <w:noProof/>
        </w:rPr>
        <w:t xml:space="preserve">, </w:t>
      </w:r>
      <w:r>
        <w:rPr>
          <w:noProof/>
        </w:rPr>
        <w:t>Prescient Fund Services (Ireland)</w:t>
      </w:r>
      <w:r w:rsidRPr="004F1B06">
        <w:rPr>
          <w:noProof/>
        </w:rPr>
        <w:t xml:space="preserve"> Limited (the “</w:t>
      </w:r>
      <w:r w:rsidRPr="004F1B06">
        <w:rPr>
          <w:b/>
          <w:noProof/>
        </w:rPr>
        <w:t>Company</w:t>
      </w:r>
      <w:r w:rsidRPr="004F1B06">
        <w:rPr>
          <w:noProof/>
        </w:rPr>
        <w:t>”) is required to have remuneration policies and practices for those categories of staff, including senior management, risk takers, control functions, and any employees receiving total remuneration that takes them into the same remuneration bracket as senior management and risk takers, whose professional activities have a material impact on the risk profiles of the Company</w:t>
      </w:r>
      <w:r w:rsidR="004804A6">
        <w:rPr>
          <w:noProof/>
        </w:rPr>
        <w:t xml:space="preserve"> or a fund that it manages (a "</w:t>
      </w:r>
      <w:r w:rsidR="004804A6" w:rsidRPr="004804A6">
        <w:rPr>
          <w:b/>
          <w:bCs/>
          <w:noProof/>
        </w:rPr>
        <w:t>Fund</w:t>
      </w:r>
      <w:r w:rsidR="004804A6">
        <w:rPr>
          <w:noProof/>
        </w:rPr>
        <w:t>")</w:t>
      </w:r>
      <w:r w:rsidRPr="004F1B06">
        <w:rPr>
          <w:noProof/>
        </w:rPr>
        <w:t xml:space="preserve">, that are consistent with and promote sound and effective risk management and do not encourage risk-taking which is inconsistent with the risk profiles, rules or instruments of incorporation of the </w:t>
      </w:r>
      <w:r w:rsidR="00992471">
        <w:rPr>
          <w:noProof/>
        </w:rPr>
        <w:t xml:space="preserve">relevant </w:t>
      </w:r>
      <w:r w:rsidR="004804A6">
        <w:rPr>
          <w:noProof/>
        </w:rPr>
        <w:t>Fund</w:t>
      </w:r>
      <w:r w:rsidRPr="004F1B06">
        <w:rPr>
          <w:noProof/>
        </w:rPr>
        <w:t>.</w:t>
      </w:r>
    </w:p>
    <w:p w14:paraId="093DB825" w14:textId="77777777" w:rsidR="008B4434" w:rsidRPr="004F1B06" w:rsidRDefault="008B4434" w:rsidP="008B4434">
      <w:pPr>
        <w:jc w:val="both"/>
        <w:rPr>
          <w:noProof/>
          <w:szCs w:val="24"/>
          <w:lang w:val="en-US"/>
        </w:rPr>
      </w:pPr>
    </w:p>
    <w:p w14:paraId="1FCE1F3D" w14:textId="77777777" w:rsidR="008B4434" w:rsidRPr="004F1B06" w:rsidRDefault="008B4434" w:rsidP="008B4434">
      <w:pPr>
        <w:autoSpaceDE w:val="0"/>
        <w:autoSpaceDN w:val="0"/>
        <w:adjustRightInd w:val="0"/>
        <w:jc w:val="both"/>
        <w:rPr>
          <w:rFonts w:eastAsia="Times New Roman"/>
          <w:b/>
          <w:position w:val="8"/>
          <w:lang w:val="en-US"/>
        </w:rPr>
      </w:pPr>
      <w:r w:rsidRPr="004F1B06">
        <w:rPr>
          <w:rFonts w:eastAsia="Times New Roman"/>
          <w:b/>
          <w:position w:val="8"/>
          <w:lang w:val="en-US"/>
        </w:rPr>
        <w:t xml:space="preserve">Remuneration Policy Framework </w:t>
      </w:r>
    </w:p>
    <w:p w14:paraId="419118B0" w14:textId="77777777" w:rsidR="008B4434" w:rsidRPr="004F1B06" w:rsidRDefault="008B4434" w:rsidP="008B4434">
      <w:pPr>
        <w:autoSpaceDE w:val="0"/>
        <w:autoSpaceDN w:val="0"/>
        <w:adjustRightInd w:val="0"/>
        <w:jc w:val="both"/>
        <w:rPr>
          <w:rFonts w:eastAsia="Times New Roman"/>
          <w:position w:val="8"/>
          <w:lang w:val="en-US"/>
        </w:rPr>
      </w:pPr>
    </w:p>
    <w:p w14:paraId="766CF43F" w14:textId="77777777" w:rsidR="008B4434" w:rsidRPr="004F1B06" w:rsidRDefault="008B4434" w:rsidP="008B4434">
      <w:pPr>
        <w:autoSpaceDE w:val="0"/>
        <w:autoSpaceDN w:val="0"/>
        <w:adjustRightInd w:val="0"/>
        <w:jc w:val="both"/>
        <w:rPr>
          <w:rFonts w:eastAsia="Times New Roman"/>
          <w:position w:val="8"/>
          <w:lang w:val="en-US"/>
        </w:rPr>
      </w:pPr>
      <w:r w:rsidRPr="004F1B06">
        <w:rPr>
          <w:rFonts w:eastAsia="Times New Roman"/>
          <w:position w:val="8"/>
          <w:lang w:val="en-US"/>
        </w:rPr>
        <w:t xml:space="preserve">The purpose of the Company’s remuneration policy is to seek to ensure that the remuneration arrangements of </w:t>
      </w:r>
      <w:r w:rsidR="004804A6">
        <w:rPr>
          <w:rFonts w:eastAsia="Times New Roman"/>
          <w:position w:val="8"/>
          <w:lang w:val="en-US"/>
        </w:rPr>
        <w:t>I</w:t>
      </w:r>
      <w:r w:rsidRPr="004F1B06">
        <w:rPr>
          <w:rFonts w:eastAsia="Times New Roman"/>
          <w:position w:val="8"/>
          <w:lang w:val="en-US"/>
        </w:rPr>
        <w:t xml:space="preserve">dentified </w:t>
      </w:r>
      <w:r w:rsidR="004804A6">
        <w:rPr>
          <w:rFonts w:eastAsia="Times New Roman"/>
          <w:position w:val="8"/>
          <w:lang w:val="en-US"/>
        </w:rPr>
        <w:t>S</w:t>
      </w:r>
      <w:r w:rsidRPr="004F1B06">
        <w:rPr>
          <w:rFonts w:eastAsia="Times New Roman"/>
          <w:position w:val="8"/>
          <w:lang w:val="en-US"/>
        </w:rPr>
        <w:t>taf</w:t>
      </w:r>
      <w:r w:rsidR="004804A6">
        <w:rPr>
          <w:rFonts w:eastAsia="Times New Roman"/>
          <w:position w:val="8"/>
          <w:lang w:val="en-US"/>
        </w:rPr>
        <w:t>f</w:t>
      </w:r>
      <w:r w:rsidRPr="004F1B06">
        <w:rPr>
          <w:rFonts w:eastAsia="Times New Roman"/>
          <w:position w:val="8"/>
          <w:lang w:val="en-US"/>
        </w:rPr>
        <w:t>:</w:t>
      </w:r>
    </w:p>
    <w:p w14:paraId="4CE30CB2" w14:textId="77777777" w:rsidR="008B4434" w:rsidRPr="004F1B06" w:rsidRDefault="008B4434" w:rsidP="008B4434">
      <w:pPr>
        <w:autoSpaceDE w:val="0"/>
        <w:autoSpaceDN w:val="0"/>
        <w:adjustRightInd w:val="0"/>
        <w:jc w:val="both"/>
        <w:rPr>
          <w:rFonts w:eastAsia="Times New Roman"/>
          <w:position w:val="8"/>
          <w:lang w:val="en-US"/>
        </w:rPr>
      </w:pPr>
    </w:p>
    <w:p w14:paraId="3D6AF396" w14:textId="77777777" w:rsidR="008B4434" w:rsidRPr="004F1B06" w:rsidRDefault="00560197" w:rsidP="008B4434">
      <w:pPr>
        <w:numPr>
          <w:ilvl w:val="0"/>
          <w:numId w:val="2"/>
        </w:numPr>
        <w:autoSpaceDE w:val="0"/>
        <w:autoSpaceDN w:val="0"/>
        <w:adjustRightInd w:val="0"/>
        <w:ind w:hanging="720"/>
        <w:jc w:val="both"/>
        <w:rPr>
          <w:rFonts w:eastAsia="Times New Roman"/>
          <w:position w:val="8"/>
          <w:lang w:val="en-US"/>
        </w:rPr>
      </w:pPr>
      <w:r>
        <w:rPr>
          <w:rFonts w:eastAsia="Times New Roman"/>
          <w:position w:val="8"/>
          <w:lang w:val="en-US"/>
        </w:rPr>
        <w:t>are</w:t>
      </w:r>
      <w:r w:rsidR="008B4434" w:rsidRPr="004F1B06">
        <w:rPr>
          <w:rFonts w:eastAsia="Times New Roman"/>
          <w:position w:val="8"/>
          <w:lang w:val="en-US"/>
        </w:rPr>
        <w:t xml:space="preserve"> consistent with and promote sound and effective risk management</w:t>
      </w:r>
      <w:r w:rsidR="00360F75">
        <w:rPr>
          <w:rFonts w:eastAsia="Times New Roman"/>
          <w:position w:val="8"/>
          <w:lang w:val="en-US"/>
        </w:rPr>
        <w:t xml:space="preserve">, including </w:t>
      </w:r>
      <w:r w:rsidR="00151D5F">
        <w:rPr>
          <w:rFonts w:eastAsia="Times New Roman"/>
          <w:position w:val="8"/>
          <w:lang w:val="en-US"/>
        </w:rPr>
        <w:t>the management of</w:t>
      </w:r>
      <w:r w:rsidR="00360F75">
        <w:rPr>
          <w:rFonts w:eastAsia="Times New Roman"/>
          <w:position w:val="8"/>
          <w:lang w:val="en-US"/>
        </w:rPr>
        <w:t xml:space="preserve"> </w:t>
      </w:r>
      <w:r w:rsidR="007B2710">
        <w:rPr>
          <w:rFonts w:eastAsia="Times New Roman"/>
          <w:position w:val="8"/>
          <w:lang w:val="en-US"/>
        </w:rPr>
        <w:t>Sustainability Risk</w:t>
      </w:r>
      <w:r w:rsidR="006B179D">
        <w:rPr>
          <w:rFonts w:eastAsia="Times New Roman"/>
          <w:position w:val="8"/>
          <w:lang w:val="en-US"/>
        </w:rPr>
        <w:t>s</w:t>
      </w:r>
      <w:r w:rsidR="007B2710" w:rsidRPr="007B2710">
        <w:rPr>
          <w:rFonts w:eastAsia="Times New Roman"/>
          <w:position w:val="8"/>
          <w:vertAlign w:val="superscript"/>
          <w:lang w:val="en-US"/>
        </w:rPr>
        <w:footnoteReference w:id="1"/>
      </w:r>
      <w:r w:rsidR="00360F75">
        <w:rPr>
          <w:rFonts w:eastAsia="Times New Roman"/>
          <w:position w:val="8"/>
          <w:lang w:val="en-US"/>
        </w:rPr>
        <w:t>,</w:t>
      </w:r>
      <w:r w:rsidR="008B4434" w:rsidRPr="004F1B06">
        <w:rPr>
          <w:rFonts w:eastAsia="Times New Roman"/>
          <w:position w:val="8"/>
          <w:lang w:val="en-US"/>
        </w:rPr>
        <w:t xml:space="preserve"> and do not encourage risk-taking</w:t>
      </w:r>
      <w:r w:rsidR="00992471">
        <w:rPr>
          <w:rFonts w:eastAsia="Times New Roman"/>
          <w:position w:val="8"/>
          <w:lang w:val="en-US"/>
        </w:rPr>
        <w:t xml:space="preserve">, including in respect of </w:t>
      </w:r>
      <w:r w:rsidR="00151D5F">
        <w:rPr>
          <w:rFonts w:eastAsia="Times New Roman"/>
          <w:position w:val="8"/>
          <w:lang w:val="en-US"/>
        </w:rPr>
        <w:t>Sustainability Risk</w:t>
      </w:r>
      <w:r w:rsidR="006B179D">
        <w:rPr>
          <w:rFonts w:eastAsia="Times New Roman"/>
          <w:position w:val="8"/>
          <w:lang w:val="en-US"/>
        </w:rPr>
        <w:t>s</w:t>
      </w:r>
      <w:r w:rsidR="00992471">
        <w:rPr>
          <w:rFonts w:eastAsia="Times New Roman"/>
          <w:position w:val="8"/>
          <w:lang w:val="en-US"/>
        </w:rPr>
        <w:t>,</w:t>
      </w:r>
      <w:r w:rsidR="008B4434" w:rsidRPr="004F1B06">
        <w:rPr>
          <w:rFonts w:eastAsia="Times New Roman"/>
          <w:position w:val="8"/>
          <w:lang w:val="en-US"/>
        </w:rPr>
        <w:t xml:space="preserve"> which is inconsistent with the risk profile, rules or instruments of incorporation of the </w:t>
      </w:r>
      <w:r w:rsidR="00992471">
        <w:rPr>
          <w:rFonts w:eastAsia="Times New Roman"/>
          <w:position w:val="8"/>
          <w:lang w:val="en-US"/>
        </w:rPr>
        <w:t xml:space="preserve">relevant </w:t>
      </w:r>
      <w:proofErr w:type="gramStart"/>
      <w:r w:rsidR="00992471">
        <w:rPr>
          <w:rFonts w:eastAsia="Times New Roman"/>
          <w:position w:val="8"/>
          <w:lang w:val="en-US"/>
        </w:rPr>
        <w:t>Fund</w:t>
      </w:r>
      <w:r w:rsidR="008B4434" w:rsidRPr="004F1B06">
        <w:rPr>
          <w:rFonts w:eastAsia="Times New Roman"/>
          <w:position w:val="8"/>
          <w:lang w:val="en-US"/>
        </w:rPr>
        <w:t>;</w:t>
      </w:r>
      <w:proofErr w:type="gramEnd"/>
      <w:r w:rsidR="008B4434" w:rsidRPr="004F1B06">
        <w:rPr>
          <w:rFonts w:eastAsia="Times New Roman"/>
          <w:position w:val="8"/>
          <w:lang w:val="en-US"/>
        </w:rPr>
        <w:t xml:space="preserve"> </w:t>
      </w:r>
    </w:p>
    <w:p w14:paraId="4B0FA30C" w14:textId="77777777" w:rsidR="008B4434" w:rsidRPr="004F1B06" w:rsidRDefault="008B4434" w:rsidP="008B4434">
      <w:pPr>
        <w:autoSpaceDE w:val="0"/>
        <w:autoSpaceDN w:val="0"/>
        <w:adjustRightInd w:val="0"/>
        <w:jc w:val="both"/>
        <w:rPr>
          <w:rFonts w:eastAsia="Times New Roman"/>
          <w:position w:val="8"/>
          <w:lang w:val="en-US"/>
        </w:rPr>
      </w:pPr>
    </w:p>
    <w:p w14:paraId="31EEF03B" w14:textId="77777777" w:rsidR="00560197" w:rsidRDefault="00560197" w:rsidP="008B4434">
      <w:pPr>
        <w:numPr>
          <w:ilvl w:val="0"/>
          <w:numId w:val="3"/>
        </w:numPr>
        <w:autoSpaceDE w:val="0"/>
        <w:autoSpaceDN w:val="0"/>
        <w:adjustRightInd w:val="0"/>
        <w:ind w:left="709" w:hanging="709"/>
        <w:jc w:val="both"/>
        <w:rPr>
          <w:rFonts w:eastAsia="Times New Roman"/>
          <w:position w:val="8"/>
          <w:lang w:val="en-US"/>
        </w:rPr>
      </w:pPr>
      <w:r>
        <w:rPr>
          <w:rFonts w:eastAsia="Times New Roman"/>
          <w:position w:val="8"/>
          <w:lang w:val="en-US"/>
        </w:rPr>
        <w:t>are</w:t>
      </w:r>
      <w:r w:rsidR="008B4434" w:rsidRPr="004F1B06">
        <w:rPr>
          <w:rFonts w:eastAsia="Times New Roman"/>
          <w:position w:val="8"/>
          <w:lang w:val="en-US"/>
        </w:rPr>
        <w:t xml:space="preserve"> consistent with business strategy, objectives, values and interests </w:t>
      </w:r>
      <w:r w:rsidR="007B2710">
        <w:rPr>
          <w:rFonts w:eastAsia="Times New Roman"/>
          <w:position w:val="8"/>
          <w:lang w:val="en-US"/>
        </w:rPr>
        <w:t xml:space="preserve">of </w:t>
      </w:r>
      <w:r w:rsidR="007B2710" w:rsidRPr="004F1B06">
        <w:rPr>
          <w:rFonts w:eastAsia="Times New Roman"/>
          <w:position w:val="8"/>
          <w:lang w:val="en-US"/>
        </w:rPr>
        <w:t>the Company</w:t>
      </w:r>
      <w:r w:rsidR="007B2710">
        <w:rPr>
          <w:rFonts w:eastAsia="Times New Roman"/>
          <w:position w:val="8"/>
          <w:lang w:val="en-US"/>
        </w:rPr>
        <w:t>, the Funds and the Funds' investors</w:t>
      </w:r>
      <w:r w:rsidR="007B2710" w:rsidRPr="004F1B06">
        <w:rPr>
          <w:rFonts w:eastAsia="Times New Roman"/>
          <w:position w:val="8"/>
          <w:lang w:val="en-US"/>
        </w:rPr>
        <w:t xml:space="preserve"> </w:t>
      </w:r>
      <w:r w:rsidR="008B4434" w:rsidRPr="004F1B06">
        <w:rPr>
          <w:rFonts w:eastAsia="Times New Roman"/>
          <w:position w:val="8"/>
          <w:lang w:val="en-US"/>
        </w:rPr>
        <w:t>and includes measures to avoid conflicts of interest</w:t>
      </w:r>
      <w:r>
        <w:rPr>
          <w:rFonts w:eastAsia="Times New Roman"/>
          <w:position w:val="8"/>
          <w:lang w:val="en-US"/>
        </w:rPr>
        <w:t>; and</w:t>
      </w:r>
    </w:p>
    <w:p w14:paraId="3682DE5A" w14:textId="77777777" w:rsidR="00560197" w:rsidRDefault="00560197" w:rsidP="00560197">
      <w:pPr>
        <w:autoSpaceDE w:val="0"/>
        <w:autoSpaceDN w:val="0"/>
        <w:adjustRightInd w:val="0"/>
        <w:ind w:left="709"/>
        <w:jc w:val="both"/>
        <w:rPr>
          <w:rFonts w:eastAsia="Times New Roman"/>
          <w:position w:val="8"/>
          <w:lang w:val="en-US"/>
        </w:rPr>
      </w:pPr>
    </w:p>
    <w:p w14:paraId="5598F125" w14:textId="77777777" w:rsidR="008B4434" w:rsidRPr="004F1B06" w:rsidRDefault="00560197" w:rsidP="008B4434">
      <w:pPr>
        <w:numPr>
          <w:ilvl w:val="0"/>
          <w:numId w:val="3"/>
        </w:numPr>
        <w:autoSpaceDE w:val="0"/>
        <w:autoSpaceDN w:val="0"/>
        <w:adjustRightInd w:val="0"/>
        <w:ind w:left="709" w:hanging="709"/>
        <w:jc w:val="both"/>
        <w:rPr>
          <w:rFonts w:eastAsia="Times New Roman"/>
          <w:position w:val="8"/>
          <w:lang w:val="en-US"/>
        </w:rPr>
      </w:pPr>
      <w:r>
        <w:rPr>
          <w:rFonts w:eastAsia="Times New Roman"/>
          <w:position w:val="8"/>
          <w:lang w:val="en-US"/>
        </w:rPr>
        <w:t>are consistent with the integration of Sustainability Risks into the investment decisions so that the structure of remuneration does not encourage excessive risk-taking with respect to Sustainability Risks</w:t>
      </w:r>
      <w:r w:rsidR="008B4434" w:rsidRPr="004F1B06">
        <w:rPr>
          <w:rFonts w:eastAsia="Times New Roman"/>
          <w:position w:val="8"/>
          <w:lang w:val="en-US"/>
        </w:rPr>
        <w:t>.</w:t>
      </w:r>
    </w:p>
    <w:p w14:paraId="6767F919" w14:textId="77777777" w:rsidR="008B4434" w:rsidRPr="004F1B06" w:rsidRDefault="008B4434" w:rsidP="008B4434">
      <w:pPr>
        <w:jc w:val="both"/>
      </w:pPr>
    </w:p>
    <w:p w14:paraId="1ACC1A10" w14:textId="77777777" w:rsidR="008B4434" w:rsidRPr="004F1B06" w:rsidRDefault="008B4434" w:rsidP="008B4434">
      <w:pPr>
        <w:jc w:val="both"/>
      </w:pPr>
      <w:r w:rsidRPr="004F1B06">
        <w:t>The Company complies with those objectives by having a business model which by its nature does not promote excessive risk taking; by defining performance goals and objectives for employees of the Company’s delegates which are aligned with the business; and by ensuring that the fixed salary element of those involved in relevant functions reflects the market rate.</w:t>
      </w:r>
    </w:p>
    <w:p w14:paraId="23109375" w14:textId="77777777" w:rsidR="008B4434" w:rsidRPr="004F1B06" w:rsidRDefault="008B4434" w:rsidP="008B4434">
      <w:pPr>
        <w:jc w:val="both"/>
      </w:pPr>
    </w:p>
    <w:p w14:paraId="4DF5B975" w14:textId="77777777" w:rsidR="008B4434" w:rsidRPr="004F1B06" w:rsidRDefault="008B4434" w:rsidP="00151D5F">
      <w:pPr>
        <w:keepNext/>
        <w:widowControl w:val="0"/>
        <w:autoSpaceDE w:val="0"/>
        <w:autoSpaceDN w:val="0"/>
        <w:adjustRightInd w:val="0"/>
        <w:jc w:val="both"/>
        <w:rPr>
          <w:rFonts w:eastAsia="Times New Roman"/>
          <w:b/>
          <w:position w:val="8"/>
          <w:lang w:val="en-US"/>
        </w:rPr>
      </w:pPr>
      <w:r w:rsidRPr="004F1B06">
        <w:rPr>
          <w:rFonts w:eastAsia="Times New Roman"/>
          <w:b/>
          <w:position w:val="8"/>
          <w:lang w:val="en-US"/>
        </w:rPr>
        <w:lastRenderedPageBreak/>
        <w:t>Applicable Remuneration</w:t>
      </w:r>
    </w:p>
    <w:p w14:paraId="66D8A20E" w14:textId="77777777" w:rsidR="008B4434" w:rsidRPr="004F1B06" w:rsidRDefault="008B4434" w:rsidP="00151D5F">
      <w:pPr>
        <w:keepNext/>
        <w:widowControl w:val="0"/>
        <w:autoSpaceDE w:val="0"/>
        <w:autoSpaceDN w:val="0"/>
        <w:adjustRightInd w:val="0"/>
        <w:jc w:val="both"/>
        <w:rPr>
          <w:rFonts w:eastAsia="Times New Roman"/>
          <w:position w:val="8"/>
          <w:lang w:val="en-US"/>
        </w:rPr>
      </w:pPr>
    </w:p>
    <w:p w14:paraId="1FCDEA26" w14:textId="77777777" w:rsidR="008B4434" w:rsidRPr="004F1B06" w:rsidRDefault="008B4434" w:rsidP="00151D5F">
      <w:pPr>
        <w:keepNext/>
        <w:widowControl w:val="0"/>
        <w:autoSpaceDE w:val="0"/>
        <w:autoSpaceDN w:val="0"/>
        <w:adjustRightInd w:val="0"/>
        <w:jc w:val="both"/>
        <w:rPr>
          <w:rFonts w:eastAsia="Times New Roman"/>
          <w:position w:val="8"/>
          <w:lang w:val="en-US"/>
        </w:rPr>
      </w:pPr>
      <w:r w:rsidRPr="004F1B06">
        <w:rPr>
          <w:rFonts w:eastAsia="Times New Roman"/>
          <w:position w:val="8"/>
          <w:lang w:val="en-US"/>
        </w:rPr>
        <w:t xml:space="preserve">The principles set out in this policy apply to remuneration of any type paid by the Company including carried interest, and to any transfer of units or shares of </w:t>
      </w:r>
      <w:r w:rsidR="004804A6">
        <w:rPr>
          <w:rFonts w:eastAsia="Times New Roman"/>
          <w:position w:val="8"/>
          <w:lang w:val="en-US"/>
        </w:rPr>
        <w:t>a Fund</w:t>
      </w:r>
      <w:r w:rsidRPr="004F1B06">
        <w:rPr>
          <w:rFonts w:eastAsia="Times New Roman"/>
          <w:position w:val="8"/>
          <w:lang w:val="en-US"/>
        </w:rPr>
        <w:t xml:space="preserve">, in certain circumstances </w:t>
      </w:r>
      <w:r w:rsidR="004804A6">
        <w:rPr>
          <w:rFonts w:eastAsia="Times New Roman"/>
          <w:position w:val="8"/>
          <w:lang w:val="en-US"/>
        </w:rPr>
        <w:t>to Identified Staff</w:t>
      </w:r>
      <w:r w:rsidRPr="004F1B06">
        <w:rPr>
          <w:rFonts w:eastAsia="Times New Roman"/>
          <w:position w:val="8"/>
          <w:lang w:val="en-US"/>
        </w:rPr>
        <w:t>.</w:t>
      </w:r>
    </w:p>
    <w:p w14:paraId="399C7F55" w14:textId="77777777" w:rsidR="008B4434" w:rsidRPr="004F1B06" w:rsidRDefault="008B4434" w:rsidP="008B4434">
      <w:pPr>
        <w:autoSpaceDE w:val="0"/>
        <w:autoSpaceDN w:val="0"/>
        <w:adjustRightInd w:val="0"/>
        <w:jc w:val="both"/>
        <w:rPr>
          <w:rFonts w:eastAsia="Times New Roman"/>
          <w:position w:val="8"/>
          <w:lang w:val="en-US"/>
        </w:rPr>
      </w:pPr>
    </w:p>
    <w:p w14:paraId="43CDBD51" w14:textId="77777777" w:rsidR="008B4434" w:rsidRPr="004F1B06" w:rsidRDefault="008B4434" w:rsidP="004804A6">
      <w:pPr>
        <w:keepNext/>
        <w:widowControl w:val="0"/>
        <w:autoSpaceDE w:val="0"/>
        <w:autoSpaceDN w:val="0"/>
        <w:adjustRightInd w:val="0"/>
        <w:jc w:val="both"/>
        <w:rPr>
          <w:rFonts w:eastAsia="Times New Roman"/>
          <w:position w:val="8"/>
          <w:lang w:val="en-US"/>
        </w:rPr>
      </w:pPr>
      <w:r w:rsidRPr="004F1B06">
        <w:rPr>
          <w:rFonts w:eastAsia="Times New Roman"/>
          <w:position w:val="8"/>
          <w:lang w:val="en-US"/>
        </w:rPr>
        <w:t>The remuneration policy covers the following categories of staff of the Company:</w:t>
      </w:r>
    </w:p>
    <w:p w14:paraId="46E4934F" w14:textId="77777777" w:rsidR="008B4434" w:rsidRPr="004F1B06" w:rsidRDefault="008B4434" w:rsidP="004804A6">
      <w:pPr>
        <w:keepNext/>
        <w:widowControl w:val="0"/>
        <w:autoSpaceDE w:val="0"/>
        <w:autoSpaceDN w:val="0"/>
        <w:adjustRightInd w:val="0"/>
        <w:spacing w:line="240" w:lineRule="auto"/>
        <w:jc w:val="both"/>
        <w:rPr>
          <w:rFonts w:eastAsia="Times New Roman"/>
          <w:position w:val="8"/>
          <w:lang w:val="en-US"/>
        </w:rPr>
      </w:pPr>
    </w:p>
    <w:p w14:paraId="49F41118" w14:textId="77777777" w:rsidR="008B4434" w:rsidRPr="004F1B06" w:rsidRDefault="008B4434" w:rsidP="004804A6">
      <w:pPr>
        <w:keepNext/>
        <w:widowControl w:val="0"/>
        <w:autoSpaceDE w:val="0"/>
        <w:autoSpaceDN w:val="0"/>
        <w:adjustRightInd w:val="0"/>
        <w:spacing w:line="240" w:lineRule="auto"/>
        <w:jc w:val="both"/>
        <w:rPr>
          <w:rFonts w:eastAsia="Times New Roman"/>
          <w:position w:val="8"/>
          <w:lang w:val="en-US"/>
        </w:rPr>
      </w:pPr>
      <w:r w:rsidRPr="004F1B06">
        <w:rPr>
          <w:rFonts w:eastAsia="Times New Roman"/>
          <w:position w:val="8"/>
          <w:lang w:val="en-US"/>
        </w:rPr>
        <w:t>(i)</w:t>
      </w:r>
      <w:r w:rsidRPr="004F1B06">
        <w:rPr>
          <w:rFonts w:eastAsia="Times New Roman"/>
          <w:position w:val="8"/>
          <w:lang w:val="en-US"/>
        </w:rPr>
        <w:tab/>
        <w:t xml:space="preserve">senior </w:t>
      </w:r>
      <w:proofErr w:type="gramStart"/>
      <w:r w:rsidRPr="004F1B06">
        <w:rPr>
          <w:rFonts w:eastAsia="Times New Roman"/>
          <w:position w:val="8"/>
          <w:lang w:val="en-US"/>
        </w:rPr>
        <w:t>management;</w:t>
      </w:r>
      <w:proofErr w:type="gramEnd"/>
    </w:p>
    <w:p w14:paraId="3340A5EE" w14:textId="77777777" w:rsidR="008B4434" w:rsidRPr="004F1B06" w:rsidRDefault="008B4434" w:rsidP="008B4434">
      <w:pPr>
        <w:autoSpaceDE w:val="0"/>
        <w:autoSpaceDN w:val="0"/>
        <w:adjustRightInd w:val="0"/>
        <w:spacing w:line="240" w:lineRule="auto"/>
        <w:jc w:val="both"/>
        <w:rPr>
          <w:rFonts w:eastAsia="Times New Roman"/>
          <w:position w:val="8"/>
          <w:lang w:val="en-US"/>
        </w:rPr>
      </w:pPr>
    </w:p>
    <w:p w14:paraId="522A57A1" w14:textId="77777777" w:rsidR="008B4434" w:rsidRPr="004F1B06" w:rsidRDefault="008B4434" w:rsidP="008B4434">
      <w:pPr>
        <w:numPr>
          <w:ilvl w:val="0"/>
          <w:numId w:val="4"/>
        </w:numPr>
        <w:autoSpaceDE w:val="0"/>
        <w:autoSpaceDN w:val="0"/>
        <w:adjustRightInd w:val="0"/>
        <w:spacing w:line="240" w:lineRule="auto"/>
        <w:jc w:val="both"/>
        <w:rPr>
          <w:rFonts w:eastAsia="Times New Roman"/>
          <w:position w:val="8"/>
          <w:lang w:val="en-US"/>
        </w:rPr>
      </w:pPr>
      <w:r w:rsidRPr="004F1B06">
        <w:rPr>
          <w:rFonts w:eastAsia="Times New Roman"/>
          <w:position w:val="8"/>
          <w:lang w:val="en-US"/>
        </w:rPr>
        <w:t xml:space="preserve">risk </w:t>
      </w:r>
      <w:proofErr w:type="gramStart"/>
      <w:r w:rsidRPr="004F1B06">
        <w:rPr>
          <w:rFonts w:eastAsia="Times New Roman"/>
          <w:position w:val="8"/>
          <w:lang w:val="en-US"/>
        </w:rPr>
        <w:t>takers;</w:t>
      </w:r>
      <w:proofErr w:type="gramEnd"/>
      <w:r w:rsidRPr="004F1B06">
        <w:rPr>
          <w:rFonts w:eastAsia="Times New Roman"/>
          <w:position w:val="8"/>
          <w:lang w:val="en-US"/>
        </w:rPr>
        <w:t xml:space="preserve"> </w:t>
      </w:r>
    </w:p>
    <w:p w14:paraId="3D708FDC" w14:textId="77777777" w:rsidR="008B4434" w:rsidRPr="004F1B06" w:rsidRDefault="008B4434" w:rsidP="008B4434">
      <w:pPr>
        <w:autoSpaceDE w:val="0"/>
        <w:autoSpaceDN w:val="0"/>
        <w:adjustRightInd w:val="0"/>
        <w:spacing w:line="240" w:lineRule="auto"/>
        <w:ind w:left="720"/>
        <w:jc w:val="both"/>
        <w:rPr>
          <w:rFonts w:eastAsia="Times New Roman"/>
          <w:position w:val="8"/>
          <w:lang w:val="en-US"/>
        </w:rPr>
      </w:pPr>
    </w:p>
    <w:p w14:paraId="224BB2A1" w14:textId="77777777" w:rsidR="008B4434" w:rsidRPr="004F1B06" w:rsidRDefault="008B4434" w:rsidP="008B4434">
      <w:pPr>
        <w:autoSpaceDE w:val="0"/>
        <w:autoSpaceDN w:val="0"/>
        <w:adjustRightInd w:val="0"/>
        <w:spacing w:line="240" w:lineRule="auto"/>
        <w:jc w:val="both"/>
        <w:rPr>
          <w:rFonts w:eastAsia="Times New Roman"/>
          <w:position w:val="8"/>
          <w:lang w:val="en-US"/>
        </w:rPr>
      </w:pPr>
      <w:r w:rsidRPr="004F1B06">
        <w:rPr>
          <w:rFonts w:eastAsia="Times New Roman"/>
          <w:position w:val="8"/>
          <w:lang w:val="en-US"/>
        </w:rPr>
        <w:t>(iii)</w:t>
      </w:r>
      <w:r w:rsidRPr="004F1B06">
        <w:rPr>
          <w:rFonts w:eastAsia="Times New Roman"/>
          <w:position w:val="8"/>
          <w:lang w:val="en-US"/>
        </w:rPr>
        <w:tab/>
        <w:t xml:space="preserve">control </w:t>
      </w:r>
      <w:proofErr w:type="gramStart"/>
      <w:r w:rsidRPr="004F1B06">
        <w:rPr>
          <w:rFonts w:eastAsia="Times New Roman"/>
          <w:position w:val="8"/>
          <w:lang w:val="en-US"/>
        </w:rPr>
        <w:t>functions;</w:t>
      </w:r>
      <w:proofErr w:type="gramEnd"/>
      <w:r w:rsidRPr="004F1B06">
        <w:rPr>
          <w:rFonts w:eastAsia="Times New Roman"/>
          <w:position w:val="8"/>
          <w:lang w:val="en-US"/>
        </w:rPr>
        <w:t xml:space="preserve"> </w:t>
      </w:r>
    </w:p>
    <w:p w14:paraId="4D109DCF" w14:textId="77777777" w:rsidR="008B4434" w:rsidRPr="004F1B06" w:rsidRDefault="008B4434" w:rsidP="008B4434">
      <w:pPr>
        <w:autoSpaceDE w:val="0"/>
        <w:autoSpaceDN w:val="0"/>
        <w:adjustRightInd w:val="0"/>
        <w:spacing w:line="240" w:lineRule="auto"/>
        <w:jc w:val="both"/>
        <w:rPr>
          <w:rFonts w:eastAsia="Times New Roman"/>
          <w:position w:val="8"/>
          <w:lang w:val="en-US"/>
        </w:rPr>
      </w:pPr>
    </w:p>
    <w:p w14:paraId="1182E771" w14:textId="77777777" w:rsidR="008B4434" w:rsidRPr="004F1B06" w:rsidRDefault="008B4434" w:rsidP="008B4434">
      <w:pPr>
        <w:autoSpaceDE w:val="0"/>
        <w:autoSpaceDN w:val="0"/>
        <w:adjustRightInd w:val="0"/>
        <w:spacing w:line="240" w:lineRule="auto"/>
        <w:ind w:left="720" w:hanging="720"/>
        <w:jc w:val="both"/>
        <w:rPr>
          <w:rFonts w:eastAsia="Times New Roman"/>
          <w:position w:val="8"/>
          <w:lang w:val="en-US"/>
        </w:rPr>
      </w:pPr>
      <w:r w:rsidRPr="004F1B06">
        <w:rPr>
          <w:rFonts w:eastAsia="Times New Roman"/>
          <w:position w:val="8"/>
          <w:lang w:val="en-US"/>
        </w:rPr>
        <w:t>(iv)</w:t>
      </w:r>
      <w:r w:rsidRPr="004F1B06">
        <w:rPr>
          <w:rFonts w:eastAsia="Times New Roman"/>
          <w:position w:val="8"/>
          <w:lang w:val="en-US"/>
        </w:rPr>
        <w:tab/>
        <w:t xml:space="preserve">any employees (if applicable) receiving total remuneration that takes them into the same remuneration bracket as senior management and risk takers, whose professional activities have a material impact on the risk profiles of the Company or the </w:t>
      </w:r>
      <w:proofErr w:type="gramStart"/>
      <w:r w:rsidRPr="004F1B06">
        <w:rPr>
          <w:rFonts w:eastAsia="Times New Roman"/>
          <w:position w:val="8"/>
          <w:lang w:val="en-US"/>
        </w:rPr>
        <w:t>Fund;</w:t>
      </w:r>
      <w:proofErr w:type="gramEnd"/>
    </w:p>
    <w:p w14:paraId="65F59A56" w14:textId="77777777" w:rsidR="008B4434" w:rsidRPr="004F1B06" w:rsidRDefault="008B4434" w:rsidP="008B4434">
      <w:pPr>
        <w:autoSpaceDE w:val="0"/>
        <w:autoSpaceDN w:val="0"/>
        <w:adjustRightInd w:val="0"/>
        <w:spacing w:line="240" w:lineRule="auto"/>
        <w:jc w:val="both"/>
        <w:rPr>
          <w:rFonts w:eastAsia="Times New Roman"/>
          <w:position w:val="8"/>
          <w:lang w:val="en-US"/>
        </w:rPr>
      </w:pPr>
    </w:p>
    <w:p w14:paraId="1A2ECF9A" w14:textId="77777777" w:rsidR="008B4434" w:rsidRPr="004F1B06" w:rsidRDefault="008B4434" w:rsidP="008B4434">
      <w:pPr>
        <w:autoSpaceDE w:val="0"/>
        <w:autoSpaceDN w:val="0"/>
        <w:adjustRightInd w:val="0"/>
        <w:spacing w:line="240" w:lineRule="auto"/>
        <w:ind w:left="720" w:hanging="720"/>
        <w:jc w:val="both"/>
        <w:rPr>
          <w:rFonts w:eastAsia="Times New Roman"/>
          <w:position w:val="8"/>
          <w:lang w:val="en-US"/>
        </w:rPr>
      </w:pPr>
      <w:r w:rsidRPr="004F1B06">
        <w:rPr>
          <w:rFonts w:eastAsia="Times New Roman"/>
          <w:position w:val="8"/>
          <w:lang w:val="en-US"/>
        </w:rPr>
        <w:t>(v)</w:t>
      </w:r>
      <w:r w:rsidRPr="004F1B06">
        <w:rPr>
          <w:rFonts w:eastAsia="Times New Roman"/>
          <w:position w:val="8"/>
          <w:lang w:val="en-US"/>
        </w:rPr>
        <w:tab/>
        <w:t>categories of staff of the Investment Manager</w:t>
      </w:r>
      <w:r>
        <w:rPr>
          <w:rFonts w:eastAsia="Times New Roman"/>
          <w:position w:val="8"/>
          <w:lang w:val="en-US"/>
        </w:rPr>
        <w:t>,</w:t>
      </w:r>
      <w:r w:rsidRPr="004F1B06">
        <w:rPr>
          <w:rFonts w:eastAsia="Times New Roman"/>
          <w:position w:val="8"/>
          <w:lang w:val="en-US"/>
        </w:rPr>
        <w:t xml:space="preserve"> or any delegate performing portfolio management or risk management</w:t>
      </w:r>
      <w:r>
        <w:rPr>
          <w:rFonts w:eastAsia="Times New Roman"/>
          <w:position w:val="8"/>
          <w:lang w:val="en-US"/>
        </w:rPr>
        <w:t>,</w:t>
      </w:r>
      <w:r w:rsidRPr="004F1B06">
        <w:rPr>
          <w:rFonts w:eastAsia="Times New Roman"/>
          <w:position w:val="8"/>
          <w:lang w:val="en-US"/>
        </w:rPr>
        <w:t xml:space="preserve"> whose professional activities have a material impact on the risk profile of the Company and the </w:t>
      </w:r>
      <w:proofErr w:type="gramStart"/>
      <w:r w:rsidRPr="004F1B06">
        <w:rPr>
          <w:rFonts w:eastAsia="Times New Roman"/>
          <w:position w:val="8"/>
          <w:lang w:val="en-US"/>
        </w:rPr>
        <w:t>Fund;</w:t>
      </w:r>
      <w:proofErr w:type="gramEnd"/>
      <w:r w:rsidRPr="004F1B06">
        <w:rPr>
          <w:rFonts w:eastAsia="Times New Roman"/>
          <w:position w:val="8"/>
          <w:lang w:val="en-US"/>
        </w:rPr>
        <w:t xml:space="preserve">  </w:t>
      </w:r>
    </w:p>
    <w:p w14:paraId="10DF122D" w14:textId="77777777" w:rsidR="008B4434" w:rsidRPr="004F1B06" w:rsidRDefault="008B4434" w:rsidP="008B4434">
      <w:pPr>
        <w:autoSpaceDE w:val="0"/>
        <w:autoSpaceDN w:val="0"/>
        <w:adjustRightInd w:val="0"/>
        <w:spacing w:line="240" w:lineRule="auto"/>
        <w:jc w:val="both"/>
        <w:rPr>
          <w:rFonts w:eastAsia="Times New Roman"/>
          <w:position w:val="8"/>
          <w:lang w:val="en-US"/>
        </w:rPr>
      </w:pPr>
    </w:p>
    <w:p w14:paraId="58C909E9" w14:textId="77777777" w:rsidR="008B4434" w:rsidRPr="004F1B06" w:rsidRDefault="008B4434" w:rsidP="008B4434">
      <w:pPr>
        <w:autoSpaceDE w:val="0"/>
        <w:autoSpaceDN w:val="0"/>
        <w:adjustRightInd w:val="0"/>
        <w:spacing w:line="240" w:lineRule="auto"/>
        <w:ind w:firstLine="720"/>
        <w:jc w:val="both"/>
        <w:rPr>
          <w:rFonts w:eastAsia="Times New Roman"/>
          <w:i/>
          <w:position w:val="8"/>
          <w:lang w:val="en-US"/>
        </w:rPr>
      </w:pPr>
      <w:r w:rsidRPr="004F1B06">
        <w:rPr>
          <w:rFonts w:eastAsia="Times New Roman"/>
          <w:position w:val="8"/>
          <w:lang w:val="en-US"/>
        </w:rPr>
        <w:t>(“</w:t>
      </w:r>
      <w:r w:rsidRPr="004804A6">
        <w:rPr>
          <w:rFonts w:eastAsia="Times New Roman"/>
          <w:b/>
          <w:bCs/>
          <w:position w:val="8"/>
          <w:lang w:val="en-US"/>
        </w:rPr>
        <w:t>Identified Staff</w:t>
      </w:r>
      <w:r w:rsidRPr="004F1B06">
        <w:rPr>
          <w:rFonts w:eastAsia="Times New Roman"/>
          <w:position w:val="8"/>
          <w:lang w:val="en-US"/>
        </w:rPr>
        <w:t xml:space="preserve">”). </w:t>
      </w:r>
    </w:p>
    <w:p w14:paraId="338E0703" w14:textId="77777777" w:rsidR="008B4434" w:rsidRPr="004F1B06" w:rsidRDefault="008B4434" w:rsidP="008B4434">
      <w:pPr>
        <w:autoSpaceDE w:val="0"/>
        <w:autoSpaceDN w:val="0"/>
        <w:adjustRightInd w:val="0"/>
        <w:jc w:val="both"/>
        <w:rPr>
          <w:rFonts w:eastAsia="Times New Roman"/>
          <w:position w:val="8"/>
          <w:lang w:val="en-US"/>
        </w:rPr>
      </w:pPr>
    </w:p>
    <w:p w14:paraId="6AAFCFFC" w14:textId="77777777" w:rsidR="008B4434" w:rsidRPr="004F1B06" w:rsidRDefault="008B4434" w:rsidP="008B4434">
      <w:pPr>
        <w:autoSpaceDE w:val="0"/>
        <w:autoSpaceDN w:val="0"/>
        <w:adjustRightInd w:val="0"/>
        <w:jc w:val="both"/>
        <w:rPr>
          <w:b/>
          <w:color w:val="000000"/>
        </w:rPr>
      </w:pPr>
      <w:r w:rsidRPr="004F1B06">
        <w:rPr>
          <w:b/>
          <w:color w:val="000000"/>
        </w:rPr>
        <w:t xml:space="preserve">Categories of staff of the Company to which the Guidelines </w:t>
      </w:r>
      <w:proofErr w:type="gramStart"/>
      <w:r w:rsidRPr="004F1B06">
        <w:rPr>
          <w:b/>
          <w:color w:val="000000"/>
        </w:rPr>
        <w:t>apply</w:t>
      </w:r>
      <w:proofErr w:type="gramEnd"/>
    </w:p>
    <w:p w14:paraId="75CAE4D7" w14:textId="77777777" w:rsidR="008B4434" w:rsidRPr="004F1B06" w:rsidRDefault="008B4434" w:rsidP="008B4434">
      <w:pPr>
        <w:autoSpaceDE w:val="0"/>
        <w:autoSpaceDN w:val="0"/>
        <w:adjustRightInd w:val="0"/>
        <w:rPr>
          <w:rFonts w:eastAsia="Times New Roman"/>
          <w:position w:val="8"/>
          <w:lang w:val="en-US"/>
        </w:rPr>
      </w:pPr>
    </w:p>
    <w:p w14:paraId="03B9F456" w14:textId="77777777" w:rsidR="008B4434" w:rsidRPr="004F1B06" w:rsidRDefault="008B4434" w:rsidP="00151D5F">
      <w:pPr>
        <w:autoSpaceDE w:val="0"/>
        <w:autoSpaceDN w:val="0"/>
        <w:adjustRightInd w:val="0"/>
        <w:jc w:val="both"/>
      </w:pPr>
      <w:r w:rsidRPr="004F1B06">
        <w:t>The ESMA Guidelines relating to governance, the remuneration committee and transparency, and certain of the risk-alignment guidelines, apply to the Company as a whole.</w:t>
      </w:r>
    </w:p>
    <w:p w14:paraId="0FDF2DD5" w14:textId="77777777" w:rsidR="008B4434" w:rsidRPr="004F1B06" w:rsidRDefault="008B4434" w:rsidP="008B4434">
      <w:pPr>
        <w:autoSpaceDE w:val="0"/>
        <w:autoSpaceDN w:val="0"/>
        <w:adjustRightInd w:val="0"/>
      </w:pPr>
    </w:p>
    <w:p w14:paraId="7FEE0CC2" w14:textId="77777777" w:rsidR="008B4434" w:rsidRPr="004F1B06" w:rsidRDefault="008B4434" w:rsidP="0006717E">
      <w:pPr>
        <w:autoSpaceDE w:val="0"/>
        <w:autoSpaceDN w:val="0"/>
        <w:adjustRightInd w:val="0"/>
        <w:jc w:val="both"/>
      </w:pPr>
      <w:r w:rsidRPr="004F1B06">
        <w:t>The risk alignment guidelines apply only to Identified Staff. It is primarily the responsibility of the Company to decide the categories of staff whose professional activities have a material impact on the Company’s or the Fund’s risk profile. Identified Staff whose compensation falls under the Regulations’ provisions typically include:</w:t>
      </w:r>
    </w:p>
    <w:p w14:paraId="6A6C5A25" w14:textId="77777777" w:rsidR="008B4434" w:rsidRPr="004F1B06" w:rsidRDefault="008B4434" w:rsidP="008B4434">
      <w:pPr>
        <w:jc w:val="both"/>
      </w:pPr>
    </w:p>
    <w:p w14:paraId="59CB3E64" w14:textId="77777777" w:rsidR="008B4434" w:rsidRPr="004F1B06" w:rsidRDefault="008B4434" w:rsidP="008B4434">
      <w:pPr>
        <w:numPr>
          <w:ilvl w:val="0"/>
          <w:numId w:val="5"/>
        </w:numPr>
        <w:contextualSpacing/>
        <w:jc w:val="both"/>
        <w:rPr>
          <w:rFonts w:eastAsia="Times New Roman"/>
          <w:lang w:val="en-US"/>
        </w:rPr>
      </w:pPr>
      <w:r w:rsidRPr="004F1B06">
        <w:rPr>
          <w:rFonts w:eastAsia="Times New Roman"/>
          <w:lang w:val="en-US"/>
        </w:rPr>
        <w:t>Members of the governing body of the AIFM</w:t>
      </w:r>
      <w:r w:rsidR="0053036B">
        <w:rPr>
          <w:rFonts w:eastAsia="Times New Roman"/>
          <w:lang w:val="en-US"/>
        </w:rPr>
        <w:t>/UCITS Management Company</w:t>
      </w:r>
      <w:r w:rsidRPr="004F1B06">
        <w:rPr>
          <w:rFonts w:eastAsia="Times New Roman"/>
          <w:lang w:val="en-US"/>
        </w:rPr>
        <w:t>; for instance, the Company’s Directors</w:t>
      </w:r>
    </w:p>
    <w:p w14:paraId="65257351" w14:textId="77777777" w:rsidR="008B4434" w:rsidRPr="004F1B06" w:rsidRDefault="008B4434" w:rsidP="008B4434">
      <w:pPr>
        <w:numPr>
          <w:ilvl w:val="0"/>
          <w:numId w:val="5"/>
        </w:numPr>
        <w:contextualSpacing/>
        <w:jc w:val="both"/>
        <w:rPr>
          <w:rFonts w:eastAsia="Times New Roman"/>
          <w:lang w:val="en-US"/>
        </w:rPr>
      </w:pPr>
      <w:r w:rsidRPr="004F1B06">
        <w:rPr>
          <w:rFonts w:eastAsia="Times New Roman"/>
          <w:lang w:val="en-US"/>
        </w:rPr>
        <w:t xml:space="preserve">Senior management </w:t>
      </w:r>
      <w:proofErr w:type="gramStart"/>
      <w:r w:rsidRPr="004F1B06">
        <w:rPr>
          <w:rFonts w:eastAsia="Times New Roman"/>
          <w:lang w:val="en-US"/>
        </w:rPr>
        <w:t>i.e.</w:t>
      </w:r>
      <w:proofErr w:type="gramEnd"/>
      <w:r w:rsidRPr="004F1B06">
        <w:rPr>
          <w:rFonts w:eastAsia="Times New Roman"/>
          <w:lang w:val="en-US"/>
        </w:rPr>
        <w:t xml:space="preserve"> Head of Strategy and Business Development and members of the Management Committee)</w:t>
      </w:r>
    </w:p>
    <w:p w14:paraId="68C5E754" w14:textId="77777777" w:rsidR="008B4434" w:rsidRPr="004F1B06" w:rsidRDefault="008B4434" w:rsidP="008B4434">
      <w:pPr>
        <w:numPr>
          <w:ilvl w:val="0"/>
          <w:numId w:val="5"/>
        </w:numPr>
        <w:contextualSpacing/>
        <w:jc w:val="both"/>
        <w:rPr>
          <w:rFonts w:eastAsia="Times New Roman"/>
          <w:color w:val="0000FF"/>
          <w:u w:val="double"/>
          <w:lang w:val="en-US"/>
        </w:rPr>
      </w:pPr>
      <w:r w:rsidRPr="004F1B06">
        <w:rPr>
          <w:rFonts w:eastAsia="Times New Roman"/>
          <w:lang w:val="en-US"/>
        </w:rPr>
        <w:t xml:space="preserve">Risk takers, generally in relation to portfolio </w:t>
      </w:r>
      <w:proofErr w:type="gramStart"/>
      <w:r w:rsidRPr="004F1B06">
        <w:rPr>
          <w:rFonts w:eastAsia="Times New Roman"/>
          <w:lang w:val="en-US"/>
        </w:rPr>
        <w:t>man</w:t>
      </w:r>
      <w:r>
        <w:rPr>
          <w:rFonts w:eastAsia="Times New Roman"/>
          <w:lang w:val="en-US"/>
        </w:rPr>
        <w:t>a</w:t>
      </w:r>
      <w:r w:rsidRPr="004F1B06">
        <w:rPr>
          <w:rFonts w:eastAsia="Times New Roman"/>
          <w:lang w:val="en-US"/>
        </w:rPr>
        <w:t>gement  i.e.</w:t>
      </w:r>
      <w:proofErr w:type="gramEnd"/>
      <w:r w:rsidRPr="004F1B06">
        <w:rPr>
          <w:rFonts w:eastAsia="Times New Roman"/>
          <w:lang w:val="en-US"/>
        </w:rPr>
        <w:t xml:space="preserve"> Chief Investment Officer and the Portfolio Manager </w:t>
      </w:r>
    </w:p>
    <w:p w14:paraId="0B4879DB" w14:textId="77777777" w:rsidR="008B4434" w:rsidRPr="004F1B06" w:rsidRDefault="008B4434" w:rsidP="008B4434">
      <w:pPr>
        <w:numPr>
          <w:ilvl w:val="0"/>
          <w:numId w:val="5"/>
        </w:numPr>
        <w:contextualSpacing/>
        <w:jc w:val="both"/>
        <w:rPr>
          <w:rFonts w:eastAsia="Times New Roman"/>
          <w:lang w:val="en-US"/>
        </w:rPr>
      </w:pPr>
      <w:r w:rsidRPr="004F1B06">
        <w:rPr>
          <w:rFonts w:eastAsia="Times New Roman"/>
          <w:lang w:val="en-US"/>
        </w:rPr>
        <w:t xml:space="preserve">Control functions, </w:t>
      </w:r>
      <w:proofErr w:type="gramStart"/>
      <w:r w:rsidRPr="004F1B06">
        <w:rPr>
          <w:rFonts w:eastAsia="Times New Roman"/>
          <w:lang w:val="en-US"/>
        </w:rPr>
        <w:t>i.e.</w:t>
      </w:r>
      <w:proofErr w:type="gramEnd"/>
      <w:r w:rsidRPr="004F1B06">
        <w:rPr>
          <w:rFonts w:eastAsia="Times New Roman"/>
          <w:lang w:val="en-US"/>
        </w:rPr>
        <w:t xml:space="preserve"> the </w:t>
      </w:r>
      <w:r w:rsidRPr="004F1B06">
        <w:rPr>
          <w:rFonts w:eastAsia="Times New Roman"/>
          <w:iCs/>
          <w:lang w:val="en-US"/>
        </w:rPr>
        <w:t>Head of Operations</w:t>
      </w:r>
      <w:r w:rsidRPr="004F1B06">
        <w:rPr>
          <w:rFonts w:eastAsia="Times New Roman"/>
          <w:lang w:val="en-US"/>
        </w:rPr>
        <w:t>, Risk, Financial Control and Compliance.</w:t>
      </w:r>
    </w:p>
    <w:p w14:paraId="76776F18" w14:textId="77777777" w:rsidR="008B4434" w:rsidRPr="004F1B06" w:rsidRDefault="008B4434" w:rsidP="008B4434">
      <w:pPr>
        <w:numPr>
          <w:ilvl w:val="0"/>
          <w:numId w:val="5"/>
        </w:numPr>
        <w:contextualSpacing/>
        <w:jc w:val="both"/>
        <w:rPr>
          <w:rFonts w:eastAsia="Times New Roman"/>
          <w:lang w:val="en-US"/>
        </w:rPr>
      </w:pPr>
      <w:r w:rsidRPr="004F1B06">
        <w:rPr>
          <w:rFonts w:eastAsia="Times New Roman"/>
          <w:lang w:val="en-US"/>
        </w:rPr>
        <w:t xml:space="preserve">Staff responsible for marketing, </w:t>
      </w:r>
      <w:proofErr w:type="gramStart"/>
      <w:r w:rsidRPr="004F1B06">
        <w:rPr>
          <w:rFonts w:eastAsia="Times New Roman"/>
          <w:lang w:val="en-US"/>
        </w:rPr>
        <w:t>i.e.</w:t>
      </w:r>
      <w:proofErr w:type="gramEnd"/>
      <w:r w:rsidRPr="004F1B06">
        <w:rPr>
          <w:rFonts w:eastAsia="Times New Roman"/>
          <w:lang w:val="en-US"/>
        </w:rPr>
        <w:t xml:space="preserve"> business development</w:t>
      </w:r>
    </w:p>
    <w:p w14:paraId="5EEDCFD2" w14:textId="77777777" w:rsidR="008B4434" w:rsidRPr="004F1B06" w:rsidRDefault="008B4434" w:rsidP="008B4434">
      <w:pPr>
        <w:numPr>
          <w:ilvl w:val="0"/>
          <w:numId w:val="5"/>
        </w:numPr>
        <w:contextualSpacing/>
        <w:jc w:val="both"/>
        <w:rPr>
          <w:rFonts w:eastAsia="Times New Roman"/>
          <w:lang w:val="en-US"/>
        </w:rPr>
      </w:pPr>
      <w:r w:rsidRPr="004F1B06">
        <w:rPr>
          <w:rFonts w:eastAsia="Times New Roman"/>
          <w:lang w:val="en-US"/>
        </w:rPr>
        <w:t>Any employee receiving total remuneration that takes them into the same remuneration bracket as senior management and risk takers (</w:t>
      </w:r>
      <w:r w:rsidRPr="00C603E7">
        <w:rPr>
          <w:rFonts w:eastAsia="Times New Roman"/>
          <w:lang w:val="en-US"/>
        </w:rPr>
        <w:t>currently there are none</w:t>
      </w:r>
      <w:r w:rsidRPr="004F1B06">
        <w:rPr>
          <w:rFonts w:eastAsia="Times New Roman"/>
          <w:lang w:val="en-US"/>
        </w:rPr>
        <w:t>)</w:t>
      </w:r>
    </w:p>
    <w:p w14:paraId="644A9EE7" w14:textId="77777777" w:rsidR="008B4434" w:rsidRPr="004F1B06" w:rsidRDefault="008B4434" w:rsidP="008B4434">
      <w:pPr>
        <w:autoSpaceDE w:val="0"/>
        <w:autoSpaceDN w:val="0"/>
        <w:adjustRightInd w:val="0"/>
        <w:jc w:val="both"/>
        <w:rPr>
          <w:rFonts w:eastAsia="Times New Roman"/>
          <w:position w:val="8"/>
          <w:lang w:val="en-US"/>
        </w:rPr>
      </w:pPr>
    </w:p>
    <w:p w14:paraId="1DBEE82D" w14:textId="77777777" w:rsidR="008B4434" w:rsidRPr="004F1B06" w:rsidRDefault="008B4434" w:rsidP="00151D5F">
      <w:pPr>
        <w:keepNext/>
        <w:widowControl w:val="0"/>
        <w:autoSpaceDE w:val="0"/>
        <w:autoSpaceDN w:val="0"/>
        <w:adjustRightInd w:val="0"/>
        <w:jc w:val="both"/>
        <w:rPr>
          <w:b/>
          <w:color w:val="000000"/>
        </w:rPr>
      </w:pPr>
      <w:r w:rsidRPr="004F1B06">
        <w:rPr>
          <w:b/>
          <w:color w:val="000000"/>
        </w:rPr>
        <w:t>Type of remuneration that is subject to the Regulations and the ESMA Guidelines</w:t>
      </w:r>
    </w:p>
    <w:p w14:paraId="3FDDBB2C" w14:textId="77777777" w:rsidR="008B4434" w:rsidRPr="004F1B06" w:rsidRDefault="008B4434" w:rsidP="00151D5F">
      <w:pPr>
        <w:keepNext/>
        <w:widowControl w:val="0"/>
        <w:autoSpaceDE w:val="0"/>
        <w:autoSpaceDN w:val="0"/>
        <w:adjustRightInd w:val="0"/>
        <w:jc w:val="both"/>
        <w:rPr>
          <w:color w:val="000000"/>
          <w:sz w:val="24"/>
          <w:szCs w:val="24"/>
        </w:rPr>
      </w:pPr>
    </w:p>
    <w:p w14:paraId="386262FF" w14:textId="77777777" w:rsidR="008B4434" w:rsidRPr="004F1B06" w:rsidRDefault="008B4434" w:rsidP="00151D5F">
      <w:pPr>
        <w:keepNext/>
        <w:widowControl w:val="0"/>
        <w:jc w:val="both"/>
      </w:pPr>
      <w:r w:rsidRPr="004F1B06">
        <w:t xml:space="preserve">Under the Regulations and the ESMA Guidelines, fund remuneration consists of all forms of </w:t>
      </w:r>
      <w:r w:rsidRPr="004F1B06">
        <w:lastRenderedPageBreak/>
        <w:t>payments or benefits paid by the Company in exchange for professional services rendered by “Identified Staff” to the Fund, including:</w:t>
      </w:r>
    </w:p>
    <w:p w14:paraId="317CAC93" w14:textId="77777777" w:rsidR="008B4434" w:rsidRPr="004F1B06" w:rsidRDefault="008B4434" w:rsidP="00151D5F">
      <w:pPr>
        <w:keepNext/>
        <w:widowControl w:val="0"/>
        <w:autoSpaceDE w:val="0"/>
        <w:autoSpaceDN w:val="0"/>
        <w:adjustRightInd w:val="0"/>
        <w:rPr>
          <w:sz w:val="24"/>
          <w:szCs w:val="24"/>
        </w:rPr>
      </w:pPr>
    </w:p>
    <w:p w14:paraId="16F55860" w14:textId="77777777" w:rsidR="008B4434" w:rsidRPr="004F1B06" w:rsidRDefault="008B4434" w:rsidP="00151D5F">
      <w:pPr>
        <w:keepNext/>
        <w:widowControl w:val="0"/>
        <w:numPr>
          <w:ilvl w:val="0"/>
          <w:numId w:val="6"/>
        </w:numPr>
        <w:ind w:left="714" w:hanging="357"/>
        <w:contextualSpacing/>
        <w:jc w:val="both"/>
        <w:rPr>
          <w:rFonts w:eastAsia="Times New Roman"/>
          <w:lang w:val="en-US"/>
        </w:rPr>
      </w:pPr>
      <w:r w:rsidRPr="004F1B06">
        <w:rPr>
          <w:rFonts w:eastAsia="Times New Roman"/>
          <w:lang w:val="en-US"/>
        </w:rPr>
        <w:t>Any amount paid by the Fund itself, including carried interest</w:t>
      </w:r>
      <w:r w:rsidRPr="004F1B06">
        <w:rPr>
          <w:rFonts w:eastAsia="Times New Roman"/>
          <w:vertAlign w:val="superscript"/>
          <w:lang w:val="en-US"/>
        </w:rPr>
        <w:footnoteReference w:id="2"/>
      </w:r>
      <w:r w:rsidRPr="004F1B06">
        <w:rPr>
          <w:rFonts w:eastAsia="Times New Roman"/>
          <w:lang w:val="en-US"/>
        </w:rPr>
        <w:t xml:space="preserve"> but excluding payments made by </w:t>
      </w:r>
      <w:proofErr w:type="gramStart"/>
      <w:r w:rsidRPr="004F1B06">
        <w:rPr>
          <w:rFonts w:eastAsia="Times New Roman"/>
          <w:lang w:val="en-US"/>
        </w:rPr>
        <w:t>an</w:t>
      </w:r>
      <w:proofErr w:type="gramEnd"/>
      <w:r w:rsidRPr="004F1B06">
        <w:rPr>
          <w:rFonts w:eastAsia="Times New Roman"/>
          <w:lang w:val="en-US"/>
        </w:rPr>
        <w:t xml:space="preserve"> Fund to the benefit of Identified Staff to the extent the amount represents a pro rata return on any investment </w:t>
      </w:r>
      <w:r w:rsidRPr="004F1B06">
        <w:rPr>
          <w:rFonts w:eastAsia="Times New Roman"/>
          <w:lang w:eastAsia="en-IE"/>
        </w:rPr>
        <w:t>made by those staff members into the Fund,</w:t>
      </w:r>
    </w:p>
    <w:p w14:paraId="5D4C0D9A" w14:textId="77777777" w:rsidR="008B4434" w:rsidRPr="004F1B06" w:rsidRDefault="008B4434" w:rsidP="008B4434">
      <w:pPr>
        <w:numPr>
          <w:ilvl w:val="0"/>
          <w:numId w:val="6"/>
        </w:numPr>
        <w:ind w:left="714" w:hanging="357"/>
        <w:contextualSpacing/>
        <w:jc w:val="both"/>
        <w:rPr>
          <w:rFonts w:eastAsia="Times New Roman"/>
          <w:lang w:val="en-US"/>
        </w:rPr>
      </w:pPr>
      <w:r w:rsidRPr="004F1B06">
        <w:rPr>
          <w:rFonts w:eastAsia="Times New Roman"/>
          <w:lang w:val="en-US"/>
        </w:rPr>
        <w:t>Any transfer of units or shares of the Fund, and</w:t>
      </w:r>
    </w:p>
    <w:p w14:paraId="49B2A5A9" w14:textId="77777777" w:rsidR="008B4434" w:rsidRPr="004F1B06" w:rsidRDefault="008B4434" w:rsidP="008B4434">
      <w:pPr>
        <w:numPr>
          <w:ilvl w:val="0"/>
          <w:numId w:val="6"/>
        </w:numPr>
        <w:ind w:left="714" w:hanging="357"/>
        <w:contextualSpacing/>
        <w:jc w:val="both"/>
        <w:rPr>
          <w:rFonts w:eastAsia="Times New Roman"/>
          <w:lang w:val="en-US"/>
        </w:rPr>
      </w:pPr>
      <w:r w:rsidRPr="004F1B06">
        <w:rPr>
          <w:rFonts w:eastAsia="Times New Roman"/>
          <w:lang w:val="en-US"/>
        </w:rPr>
        <w:t>Other compensation for services, including forgivable loans, pension contributions and non-monetary payments.</w:t>
      </w:r>
    </w:p>
    <w:p w14:paraId="658A20A1" w14:textId="77777777" w:rsidR="008B4434" w:rsidRPr="004F1B06" w:rsidRDefault="008B4434" w:rsidP="008B4434">
      <w:pPr>
        <w:autoSpaceDE w:val="0"/>
        <w:autoSpaceDN w:val="0"/>
        <w:adjustRightInd w:val="0"/>
        <w:rPr>
          <w:rFonts w:eastAsia="Times New Roman"/>
          <w:position w:val="8"/>
          <w:lang w:val="en-US"/>
        </w:rPr>
      </w:pPr>
    </w:p>
    <w:p w14:paraId="7F12B154" w14:textId="77777777" w:rsidR="008B4434" w:rsidRDefault="008B4434" w:rsidP="008B4434">
      <w:pPr>
        <w:autoSpaceDE w:val="0"/>
        <w:autoSpaceDN w:val="0"/>
        <w:adjustRightInd w:val="0"/>
        <w:jc w:val="both"/>
        <w:rPr>
          <w:rFonts w:eastAsia="Times New Roman"/>
          <w:position w:val="8"/>
          <w:lang w:val="en-US"/>
        </w:rPr>
      </w:pPr>
      <w:r w:rsidRPr="004F1B06">
        <w:rPr>
          <w:rFonts w:eastAsia="Times New Roman"/>
          <w:position w:val="8"/>
          <w:lang w:val="en-US"/>
        </w:rPr>
        <w:t>Dividends or similar distributions t</w:t>
      </w:r>
      <w:r w:rsidR="0053036B">
        <w:rPr>
          <w:rFonts w:eastAsia="Times New Roman"/>
          <w:position w:val="8"/>
          <w:lang w:val="en-US"/>
        </w:rPr>
        <w:t>o</w:t>
      </w:r>
      <w:r w:rsidRPr="004F1B06">
        <w:rPr>
          <w:rFonts w:eastAsia="Times New Roman"/>
          <w:position w:val="8"/>
          <w:lang w:val="en-US"/>
        </w:rPr>
        <w:t xml:space="preserve"> the owner of the Company are not </w:t>
      </w:r>
      <w:proofErr w:type="spellStart"/>
      <w:r w:rsidRPr="004F1B06">
        <w:rPr>
          <w:rFonts w:eastAsia="Times New Roman"/>
          <w:position w:val="8"/>
          <w:lang w:val="en-US"/>
        </w:rPr>
        <w:t>categorised</w:t>
      </w:r>
      <w:proofErr w:type="spellEnd"/>
      <w:r w:rsidRPr="004F1B06">
        <w:rPr>
          <w:rFonts w:eastAsia="Times New Roman"/>
          <w:position w:val="8"/>
          <w:lang w:val="en-US"/>
        </w:rPr>
        <w:t xml:space="preserve"> as remuneration for these purposes unless the material outcome of such dividends results in a circumvention of the relevant remuneration rules. </w:t>
      </w:r>
    </w:p>
    <w:p w14:paraId="0B29D27D" w14:textId="77777777" w:rsidR="00CE2B72" w:rsidRPr="004F1B06" w:rsidRDefault="00CE2B72" w:rsidP="008B4434">
      <w:pPr>
        <w:autoSpaceDE w:val="0"/>
        <w:autoSpaceDN w:val="0"/>
        <w:adjustRightInd w:val="0"/>
        <w:jc w:val="both"/>
        <w:rPr>
          <w:rFonts w:eastAsia="Times New Roman"/>
          <w:position w:val="8"/>
          <w:lang w:val="en-US"/>
        </w:rPr>
      </w:pPr>
    </w:p>
    <w:p w14:paraId="5E7CB955" w14:textId="77777777" w:rsidR="008B4434" w:rsidRPr="004F1B06" w:rsidRDefault="008B4434" w:rsidP="008B4434">
      <w:pPr>
        <w:autoSpaceDE w:val="0"/>
        <w:autoSpaceDN w:val="0"/>
        <w:adjustRightInd w:val="0"/>
        <w:jc w:val="both"/>
        <w:rPr>
          <w:rFonts w:eastAsia="Times New Roman"/>
          <w:position w:val="8"/>
          <w:lang w:val="en-US"/>
        </w:rPr>
      </w:pPr>
      <w:r w:rsidRPr="004F1B06">
        <w:rPr>
          <w:rFonts w:eastAsia="Times New Roman"/>
          <w:position w:val="8"/>
          <w:lang w:val="en-US"/>
        </w:rPr>
        <w:t xml:space="preserve">The investment in </w:t>
      </w:r>
      <w:r w:rsidR="00E15C67">
        <w:rPr>
          <w:rFonts w:eastAsia="Times New Roman"/>
          <w:position w:val="8"/>
          <w:lang w:val="en-US"/>
        </w:rPr>
        <w:t>a</w:t>
      </w:r>
      <w:r w:rsidRPr="004F1B06">
        <w:rPr>
          <w:rFonts w:eastAsia="Times New Roman"/>
          <w:position w:val="8"/>
          <w:lang w:val="en-US"/>
        </w:rPr>
        <w:t xml:space="preserve"> Fund </w:t>
      </w:r>
      <w:r w:rsidR="00E15C67">
        <w:rPr>
          <w:rFonts w:eastAsia="Times New Roman"/>
          <w:position w:val="8"/>
          <w:lang w:val="en-US"/>
        </w:rPr>
        <w:t>by</w:t>
      </w:r>
      <w:r w:rsidRPr="004F1B06">
        <w:rPr>
          <w:rFonts w:eastAsia="Times New Roman"/>
          <w:position w:val="8"/>
          <w:lang w:val="en-US"/>
        </w:rPr>
        <w:t xml:space="preserve"> any staff members referred to above must be represented by an actual cash disbursement</w:t>
      </w:r>
      <w:r w:rsidR="00E15C67">
        <w:rPr>
          <w:rFonts w:eastAsia="Times New Roman"/>
          <w:position w:val="8"/>
          <w:lang w:val="en-US"/>
        </w:rPr>
        <w:t xml:space="preserve"> by the staff member</w:t>
      </w:r>
      <w:r w:rsidRPr="004F1B06">
        <w:rPr>
          <w:rFonts w:eastAsia="Times New Roman"/>
          <w:position w:val="8"/>
          <w:lang w:val="en-US"/>
        </w:rPr>
        <w:t xml:space="preserve">; any loans granted by the Company to the staff member </w:t>
      </w:r>
      <w:r w:rsidR="00CE2B72">
        <w:rPr>
          <w:rFonts w:eastAsia="Times New Roman"/>
          <w:position w:val="8"/>
          <w:lang w:val="en-US"/>
        </w:rPr>
        <w:t xml:space="preserve">(and not reimbursed by the staff member by the time the return on </w:t>
      </w:r>
      <w:r w:rsidR="00E15C67">
        <w:rPr>
          <w:rFonts w:eastAsia="Times New Roman"/>
          <w:position w:val="8"/>
          <w:lang w:val="en-US"/>
        </w:rPr>
        <w:t>the</w:t>
      </w:r>
      <w:r w:rsidR="00CE2B72">
        <w:rPr>
          <w:rFonts w:eastAsia="Times New Roman"/>
          <w:position w:val="8"/>
          <w:lang w:val="en-US"/>
        </w:rPr>
        <w:t xml:space="preserve"> investment is paid) </w:t>
      </w:r>
      <w:r w:rsidRPr="004F1B06">
        <w:rPr>
          <w:rFonts w:eastAsia="Times New Roman"/>
          <w:position w:val="8"/>
          <w:lang w:val="en-US"/>
        </w:rPr>
        <w:t xml:space="preserve">invested </w:t>
      </w:r>
      <w:r w:rsidR="00E15C67">
        <w:rPr>
          <w:rFonts w:eastAsia="Times New Roman"/>
          <w:position w:val="8"/>
          <w:lang w:val="en-US"/>
        </w:rPr>
        <w:t xml:space="preserve">in a Fund </w:t>
      </w:r>
      <w:r w:rsidRPr="004F1B06">
        <w:rPr>
          <w:rFonts w:eastAsia="Times New Roman"/>
          <w:position w:val="8"/>
          <w:lang w:val="en-US"/>
        </w:rPr>
        <w:t>do not qualif</w:t>
      </w:r>
      <w:r w:rsidR="00CE2B72">
        <w:rPr>
          <w:rFonts w:eastAsia="Times New Roman"/>
          <w:position w:val="8"/>
          <w:lang w:val="en-US"/>
        </w:rPr>
        <w:t>y</w:t>
      </w:r>
      <w:r w:rsidRPr="004F1B06">
        <w:rPr>
          <w:rFonts w:eastAsia="Times New Roman"/>
          <w:position w:val="8"/>
          <w:lang w:val="en-US"/>
        </w:rPr>
        <w:t xml:space="preserve"> </w:t>
      </w:r>
      <w:r w:rsidR="00CE2B72">
        <w:rPr>
          <w:rFonts w:eastAsia="Times New Roman"/>
          <w:position w:val="8"/>
          <w:lang w:val="en-US"/>
        </w:rPr>
        <w:t xml:space="preserve">for the purposes of the exemption referred to above </w:t>
      </w:r>
      <w:r w:rsidRPr="004F1B06">
        <w:rPr>
          <w:rFonts w:eastAsia="Times New Roman"/>
          <w:position w:val="8"/>
          <w:lang w:val="en-US"/>
        </w:rPr>
        <w:t>and any related profit is considered compensation under the Regulations.</w:t>
      </w:r>
    </w:p>
    <w:p w14:paraId="71DEED5C" w14:textId="77777777" w:rsidR="008B4434" w:rsidRPr="004F1B06" w:rsidRDefault="008B4434" w:rsidP="008B4434">
      <w:pPr>
        <w:autoSpaceDE w:val="0"/>
        <w:autoSpaceDN w:val="0"/>
        <w:adjustRightInd w:val="0"/>
        <w:jc w:val="both"/>
        <w:rPr>
          <w:color w:val="000000"/>
        </w:rPr>
      </w:pPr>
    </w:p>
    <w:p w14:paraId="1044C974" w14:textId="77777777" w:rsidR="008B4434" w:rsidRPr="004F1B06" w:rsidRDefault="008B4434" w:rsidP="008B4434">
      <w:pPr>
        <w:autoSpaceDE w:val="0"/>
        <w:autoSpaceDN w:val="0"/>
        <w:adjustRightInd w:val="0"/>
        <w:rPr>
          <w:rFonts w:eastAsia="Times New Roman"/>
          <w:b/>
          <w:position w:val="8"/>
          <w:lang w:val="en-US"/>
        </w:rPr>
      </w:pPr>
      <w:r w:rsidRPr="004F1B06">
        <w:rPr>
          <w:rFonts w:eastAsia="Times New Roman"/>
          <w:b/>
          <w:position w:val="8"/>
          <w:lang w:val="en-US"/>
        </w:rPr>
        <w:t>Remuneration Policy</w:t>
      </w:r>
    </w:p>
    <w:p w14:paraId="39F11153" w14:textId="77777777" w:rsidR="008B4434" w:rsidRPr="004F1B06" w:rsidRDefault="008B4434" w:rsidP="008B4434">
      <w:pPr>
        <w:autoSpaceDE w:val="0"/>
        <w:autoSpaceDN w:val="0"/>
        <w:adjustRightInd w:val="0"/>
        <w:rPr>
          <w:rFonts w:eastAsia="Times New Roman"/>
          <w:position w:val="8"/>
          <w:lang w:val="en-US"/>
        </w:rPr>
      </w:pPr>
    </w:p>
    <w:p w14:paraId="7032811B" w14:textId="77777777" w:rsidR="008B4434" w:rsidRPr="004F1B06" w:rsidRDefault="008B4434" w:rsidP="00E15C67">
      <w:pPr>
        <w:autoSpaceDE w:val="0"/>
        <w:autoSpaceDN w:val="0"/>
        <w:adjustRightInd w:val="0"/>
        <w:jc w:val="both"/>
        <w:rPr>
          <w:rFonts w:eastAsia="Times New Roman"/>
          <w:position w:val="8"/>
          <w:lang w:val="en-US"/>
        </w:rPr>
      </w:pPr>
      <w:r w:rsidRPr="004F1B06">
        <w:rPr>
          <w:rFonts w:eastAsia="Times New Roman"/>
          <w:position w:val="8"/>
          <w:lang w:val="en-US"/>
        </w:rPr>
        <w:t xml:space="preserve">The Company does not impose a limit </w:t>
      </w:r>
      <w:proofErr w:type="gramStart"/>
      <w:r w:rsidRPr="004F1B06">
        <w:rPr>
          <w:rFonts w:eastAsia="Times New Roman"/>
          <w:position w:val="8"/>
          <w:lang w:val="en-US"/>
        </w:rPr>
        <w:t>with regard to</w:t>
      </w:r>
      <w:proofErr w:type="gramEnd"/>
      <w:r w:rsidRPr="004F1B06">
        <w:rPr>
          <w:rFonts w:eastAsia="Times New Roman"/>
          <w:position w:val="8"/>
          <w:lang w:val="en-US"/>
        </w:rPr>
        <w:t xml:space="preserve"> variable compensation versus fixed compensation. However, the Company’s policy is to pay all staff a fixed component representing a sufficiently high proportion of the total remuneration of the individual to allow the Company to operate a fully flexible policy, with the possibility of not paying any variable component. </w:t>
      </w:r>
    </w:p>
    <w:p w14:paraId="5C8FCE7C" w14:textId="77777777" w:rsidR="008B4434" w:rsidRPr="004F1B06" w:rsidRDefault="008B4434" w:rsidP="008B4434">
      <w:pPr>
        <w:autoSpaceDE w:val="0"/>
        <w:autoSpaceDN w:val="0"/>
        <w:adjustRightInd w:val="0"/>
        <w:rPr>
          <w:rFonts w:eastAsia="Times New Roman"/>
          <w:position w:val="8"/>
          <w:lang w:val="en-US"/>
        </w:rPr>
      </w:pPr>
    </w:p>
    <w:p w14:paraId="13F1579F" w14:textId="77777777" w:rsidR="008B4434" w:rsidRPr="00C603E7" w:rsidRDefault="008B4434" w:rsidP="00E15C67">
      <w:pPr>
        <w:autoSpaceDE w:val="0"/>
        <w:autoSpaceDN w:val="0"/>
        <w:adjustRightInd w:val="0"/>
        <w:jc w:val="both"/>
        <w:rPr>
          <w:rFonts w:eastAsia="Times New Roman"/>
          <w:position w:val="8"/>
          <w:lang w:val="en-US"/>
        </w:rPr>
      </w:pPr>
      <w:r w:rsidRPr="00C603E7">
        <w:rPr>
          <w:rFonts w:eastAsia="Times New Roman"/>
          <w:position w:val="8"/>
          <w:lang w:val="en-US"/>
        </w:rPr>
        <w:t>Where the Company pays its staff performance related pay, the following requirements will be applied:</w:t>
      </w:r>
    </w:p>
    <w:p w14:paraId="2CBB29CF" w14:textId="77777777" w:rsidR="008B4434" w:rsidRPr="00C603E7" w:rsidRDefault="008B4434" w:rsidP="008B4434">
      <w:pPr>
        <w:autoSpaceDE w:val="0"/>
        <w:autoSpaceDN w:val="0"/>
        <w:adjustRightInd w:val="0"/>
        <w:rPr>
          <w:rFonts w:eastAsia="Times New Roman"/>
          <w:position w:val="8"/>
          <w:lang w:val="en-US"/>
        </w:rPr>
      </w:pPr>
    </w:p>
    <w:p w14:paraId="233FA2C6" w14:textId="77777777" w:rsidR="008B4434" w:rsidRPr="00C603E7" w:rsidRDefault="008B4434" w:rsidP="00E15C67">
      <w:pPr>
        <w:ind w:left="1418" w:hanging="709"/>
        <w:jc w:val="both"/>
      </w:pPr>
      <w:r w:rsidRPr="00C603E7">
        <w:t xml:space="preserve">(a) </w:t>
      </w:r>
      <w:r w:rsidRPr="00C603E7">
        <w:tab/>
        <w:t xml:space="preserve">where remuneration is performance related, the total amount of remuneration is based on a combination of the assessment of the performance of the individual, the business unit and of the overall results of the Company, and when assessing individual performance, financial as well as non-financial criteria are </w:t>
      </w:r>
      <w:proofErr w:type="gramStart"/>
      <w:r w:rsidRPr="00C603E7">
        <w:t xml:space="preserve">taken into </w:t>
      </w:r>
      <w:r w:rsidRPr="001A704E">
        <w:t>account</w:t>
      </w:r>
      <w:proofErr w:type="gramEnd"/>
      <w:r>
        <w:t xml:space="preserve">. </w:t>
      </w:r>
      <w:r w:rsidRPr="001A704E">
        <w:t xml:space="preserve"> The performance of the individual is assessed, in part, by means of a peer review system.  Performance </w:t>
      </w:r>
      <w:r w:rsidRPr="00C603E7">
        <w:t>related pay will not be based on the performance of any Fund.</w:t>
      </w:r>
    </w:p>
    <w:p w14:paraId="5B543EB9" w14:textId="77777777" w:rsidR="008B4434" w:rsidRPr="004F1B06" w:rsidRDefault="008B4434" w:rsidP="00E15C67">
      <w:pPr>
        <w:ind w:left="1418" w:hanging="709"/>
        <w:jc w:val="both"/>
        <w:rPr>
          <w:highlight w:val="yellow"/>
        </w:rPr>
      </w:pPr>
    </w:p>
    <w:p w14:paraId="49F73345" w14:textId="77777777" w:rsidR="008B4434" w:rsidRDefault="008B4434" w:rsidP="00E15C67">
      <w:pPr>
        <w:ind w:left="1418" w:hanging="709"/>
        <w:jc w:val="both"/>
        <w:rPr>
          <w:highlight w:val="yellow"/>
        </w:rPr>
      </w:pPr>
      <w:r w:rsidRPr="00C603E7">
        <w:t xml:space="preserve">(b) </w:t>
      </w:r>
      <w:r w:rsidRPr="00C603E7">
        <w:tab/>
        <w:t xml:space="preserve">the assessment of performance is set in a multi-year framework in order to ensure that the assessment process is based on longer term performance and that the actual payment of performance-based components of remuneration is spread over an appropriate </w:t>
      </w:r>
      <w:proofErr w:type="gramStart"/>
      <w:r w:rsidRPr="00C603E7">
        <w:t>period;</w:t>
      </w:r>
      <w:proofErr w:type="gramEnd"/>
    </w:p>
    <w:p w14:paraId="2B76C5C5" w14:textId="77777777" w:rsidR="008B4434" w:rsidRPr="004F1B06" w:rsidRDefault="008B4434" w:rsidP="00E15C67">
      <w:pPr>
        <w:ind w:left="1418" w:hanging="709"/>
        <w:jc w:val="both"/>
        <w:rPr>
          <w:highlight w:val="yellow"/>
        </w:rPr>
      </w:pPr>
    </w:p>
    <w:p w14:paraId="068DD908" w14:textId="77777777" w:rsidR="008B4434" w:rsidRPr="00D138CF" w:rsidRDefault="008B4434" w:rsidP="00E15C67">
      <w:pPr>
        <w:ind w:left="1418" w:hanging="709"/>
        <w:jc w:val="both"/>
      </w:pPr>
      <w:r w:rsidRPr="00D138CF">
        <w:t xml:space="preserve">(c) </w:t>
      </w:r>
      <w:r w:rsidRPr="00D138CF">
        <w:tab/>
        <w:t xml:space="preserve">the Company does not pay guaranteed variable remuneration except in an exceptional case in the context of hiring new staff and is limited to the first </w:t>
      </w:r>
      <w:proofErr w:type="gramStart"/>
      <w:r w:rsidRPr="00D138CF">
        <w:t>year;</w:t>
      </w:r>
      <w:proofErr w:type="gramEnd"/>
    </w:p>
    <w:p w14:paraId="0ACBBFCE" w14:textId="77777777" w:rsidR="008B4434" w:rsidRPr="00D138CF" w:rsidRDefault="008B4434" w:rsidP="00E15C67">
      <w:pPr>
        <w:ind w:left="1418" w:hanging="709"/>
        <w:jc w:val="both"/>
      </w:pPr>
    </w:p>
    <w:p w14:paraId="458A08A5" w14:textId="77777777" w:rsidR="008B4434" w:rsidRPr="00D138CF" w:rsidRDefault="008B4434" w:rsidP="00E15C67">
      <w:pPr>
        <w:ind w:left="1418" w:hanging="709"/>
        <w:jc w:val="both"/>
      </w:pPr>
      <w:r w:rsidRPr="00D138CF">
        <w:t xml:space="preserve">(d) </w:t>
      </w:r>
      <w:r w:rsidRPr="00D138CF">
        <w:tab/>
        <w:t xml:space="preserve">payments related to the early termination of a contract reflect performance achieved over time and are designed in a way that does not reward </w:t>
      </w:r>
      <w:proofErr w:type="gramStart"/>
      <w:r w:rsidRPr="00D138CF">
        <w:t>failure;</w:t>
      </w:r>
      <w:proofErr w:type="gramEnd"/>
    </w:p>
    <w:p w14:paraId="5B7A6E5E" w14:textId="77777777" w:rsidR="008B4434" w:rsidRPr="00D138CF" w:rsidRDefault="008B4434" w:rsidP="00E15C67">
      <w:pPr>
        <w:ind w:left="1418" w:hanging="709"/>
        <w:jc w:val="both"/>
      </w:pPr>
    </w:p>
    <w:p w14:paraId="02E8F07B" w14:textId="77777777" w:rsidR="008B4434" w:rsidRPr="00D138CF" w:rsidRDefault="008B4434" w:rsidP="00E15C67">
      <w:pPr>
        <w:ind w:left="1418" w:hanging="709"/>
        <w:jc w:val="both"/>
      </w:pPr>
      <w:r w:rsidRPr="00D138CF">
        <w:t xml:space="preserve">(e) </w:t>
      </w:r>
      <w:r w:rsidRPr="00D138CF">
        <w:tab/>
        <w:t>the measurement of performance used to calculate variable remuneration components or pools of variable remuneration components includes a comprehensive adjustment mechanism to integrate all relevant types of current and future risks</w:t>
      </w:r>
      <w:r w:rsidR="00151D5F">
        <w:t>,</w:t>
      </w:r>
      <w:r w:rsidR="007B2710">
        <w:t xml:space="preserve"> including </w:t>
      </w:r>
      <w:r w:rsidR="00151D5F">
        <w:t xml:space="preserve">Sustainability </w:t>
      </w:r>
      <w:proofErr w:type="gramStart"/>
      <w:r w:rsidR="00151D5F">
        <w:t>Risks</w:t>
      </w:r>
      <w:r w:rsidRPr="00D138CF">
        <w:t>;</w:t>
      </w:r>
      <w:proofErr w:type="gramEnd"/>
    </w:p>
    <w:p w14:paraId="3D5E5A7A" w14:textId="77777777" w:rsidR="008B4434" w:rsidRPr="00D138CF" w:rsidRDefault="008B4434" w:rsidP="00E15C67">
      <w:pPr>
        <w:ind w:left="1418" w:hanging="709"/>
        <w:jc w:val="both"/>
      </w:pPr>
    </w:p>
    <w:p w14:paraId="67C1D236" w14:textId="77777777" w:rsidR="008B4434" w:rsidRPr="00D138CF" w:rsidRDefault="008B4434" w:rsidP="00E15C67">
      <w:pPr>
        <w:ind w:left="1418" w:hanging="709"/>
        <w:jc w:val="both"/>
      </w:pPr>
      <w:r w:rsidRPr="00D138CF">
        <w:t xml:space="preserve">(f) </w:t>
      </w:r>
      <w:r w:rsidRPr="00D138CF">
        <w:tab/>
        <w:t xml:space="preserve">the variable remuneration, including the deferred portion, is paid or vests only if it is sustainable according to the financial situation of the Company as a whole, and justified according to the performance of the business unit, the Company and the individual concerned. The total variable remuneration shall generally be considerably contracted where subdued or negative financial performance of the Company occurs, taking into account both current compensation and reductions in </w:t>
      </w:r>
      <w:proofErr w:type="spellStart"/>
      <w:r w:rsidRPr="00D138CF">
        <w:t>payouts</w:t>
      </w:r>
      <w:proofErr w:type="spellEnd"/>
      <w:r w:rsidRPr="00D138CF">
        <w:t xml:space="preserve"> of amounts previously earned, including through malus or clawback </w:t>
      </w:r>
      <w:proofErr w:type="gramStart"/>
      <w:r w:rsidRPr="00D138CF">
        <w:t>arrangements;</w:t>
      </w:r>
      <w:proofErr w:type="gramEnd"/>
    </w:p>
    <w:p w14:paraId="11AA54EF" w14:textId="77777777" w:rsidR="008B4434" w:rsidRPr="00D138CF" w:rsidRDefault="008B4434" w:rsidP="00E15C67">
      <w:pPr>
        <w:ind w:left="1418" w:hanging="709"/>
        <w:jc w:val="both"/>
      </w:pPr>
    </w:p>
    <w:p w14:paraId="4E891D34" w14:textId="77777777" w:rsidR="008B4434" w:rsidRPr="004F1B06" w:rsidRDefault="008B4434" w:rsidP="00E15C67">
      <w:pPr>
        <w:ind w:left="1418" w:hanging="709"/>
        <w:jc w:val="both"/>
        <w:rPr>
          <w:highlight w:val="yellow"/>
        </w:rPr>
      </w:pPr>
      <w:r w:rsidRPr="00D138CF">
        <w:t xml:space="preserve">(g) </w:t>
      </w:r>
      <w:r w:rsidRPr="00D138CF">
        <w:tab/>
        <w:t>the Company currently provides fixed pension benefits to its staff. The Company’s policy is in line with the business strategy, objectives, values and long-term interests of the Company</w:t>
      </w:r>
      <w:r w:rsidR="00151D5F">
        <w:t xml:space="preserve"> and the Funds</w:t>
      </w:r>
      <w:r w:rsidRPr="00D138CF">
        <w:t xml:space="preserve">. </w:t>
      </w:r>
    </w:p>
    <w:p w14:paraId="7D323F8F" w14:textId="77777777" w:rsidR="008B4434" w:rsidRPr="004F1B06" w:rsidRDefault="008B4434" w:rsidP="00E15C67">
      <w:pPr>
        <w:ind w:left="1418" w:hanging="709"/>
        <w:jc w:val="both"/>
        <w:rPr>
          <w:highlight w:val="yellow"/>
        </w:rPr>
      </w:pPr>
    </w:p>
    <w:p w14:paraId="0BBD51D4" w14:textId="77777777" w:rsidR="008B4434" w:rsidRPr="00D138CF" w:rsidRDefault="008B4434" w:rsidP="00E15C67">
      <w:pPr>
        <w:ind w:left="1418" w:hanging="709"/>
        <w:jc w:val="both"/>
      </w:pPr>
      <w:r w:rsidRPr="00D138CF">
        <w:t xml:space="preserve">(h) </w:t>
      </w:r>
      <w:r w:rsidRPr="00D138CF">
        <w:tab/>
        <w:t xml:space="preserve">staff are required to undertake not to use personal hedging strategies or remuneration - and liability-related insurance to undermine the risk alignment effects embedded in their remuneration </w:t>
      </w:r>
      <w:proofErr w:type="gramStart"/>
      <w:r w:rsidRPr="00D138CF">
        <w:t>arrangements;</w:t>
      </w:r>
      <w:proofErr w:type="gramEnd"/>
    </w:p>
    <w:p w14:paraId="78F8F5AC" w14:textId="77777777" w:rsidR="008B4434" w:rsidRPr="00D138CF" w:rsidRDefault="008B4434" w:rsidP="00E15C67">
      <w:pPr>
        <w:ind w:left="1418" w:hanging="709"/>
        <w:jc w:val="both"/>
      </w:pPr>
    </w:p>
    <w:p w14:paraId="01F5C884" w14:textId="77777777" w:rsidR="008B4434" w:rsidRPr="004F1B06" w:rsidRDefault="008B4434" w:rsidP="00E15C67">
      <w:pPr>
        <w:autoSpaceDE w:val="0"/>
        <w:autoSpaceDN w:val="0"/>
        <w:adjustRightInd w:val="0"/>
        <w:ind w:left="1418" w:hanging="709"/>
        <w:jc w:val="both"/>
        <w:rPr>
          <w:rFonts w:eastAsia="Times New Roman"/>
          <w:position w:val="8"/>
          <w:lang w:val="en-US"/>
        </w:rPr>
      </w:pPr>
      <w:r w:rsidRPr="00D138CF">
        <w:rPr>
          <w:rFonts w:eastAsia="Times New Roman"/>
          <w:color w:val="000000"/>
          <w:lang w:val="en-US"/>
        </w:rPr>
        <w:t xml:space="preserve">(i) </w:t>
      </w:r>
      <w:r w:rsidRPr="00D138CF">
        <w:rPr>
          <w:rFonts w:eastAsia="Times New Roman"/>
          <w:color w:val="000000"/>
          <w:lang w:val="en-US"/>
        </w:rPr>
        <w:tab/>
        <w:t>variable remuneration is not paid through vehicles or methods that facilitate the avoidance of the requirements of the Regulation</w:t>
      </w:r>
      <w:r w:rsidR="00151D5F">
        <w:rPr>
          <w:rFonts w:eastAsia="Times New Roman"/>
          <w:color w:val="000000"/>
          <w:lang w:val="en-US"/>
        </w:rPr>
        <w:t>s</w:t>
      </w:r>
      <w:r w:rsidRPr="00D138CF">
        <w:rPr>
          <w:rFonts w:eastAsia="Times New Roman"/>
          <w:color w:val="000000"/>
          <w:lang w:val="en-US"/>
        </w:rPr>
        <w:t>’ requirements.</w:t>
      </w:r>
    </w:p>
    <w:p w14:paraId="4D1A1B56" w14:textId="77777777" w:rsidR="008B4434" w:rsidRPr="004F1B06" w:rsidRDefault="008B4434" w:rsidP="008B4434">
      <w:pPr>
        <w:autoSpaceDE w:val="0"/>
        <w:autoSpaceDN w:val="0"/>
        <w:adjustRightInd w:val="0"/>
        <w:jc w:val="both"/>
        <w:rPr>
          <w:rFonts w:eastAsia="Times New Roman"/>
          <w:position w:val="8"/>
          <w:lang w:val="en-US"/>
        </w:rPr>
      </w:pPr>
    </w:p>
    <w:p w14:paraId="7D979299" w14:textId="77777777" w:rsidR="008B4434" w:rsidRPr="004F1B06" w:rsidRDefault="008B4434" w:rsidP="008B4434">
      <w:pPr>
        <w:autoSpaceDE w:val="0"/>
        <w:autoSpaceDN w:val="0"/>
        <w:adjustRightInd w:val="0"/>
        <w:jc w:val="both"/>
        <w:rPr>
          <w:rFonts w:eastAsia="Times New Roman"/>
          <w:b/>
          <w:position w:val="8"/>
          <w:lang w:val="en-US"/>
        </w:rPr>
      </w:pPr>
      <w:r w:rsidRPr="004F1B06">
        <w:rPr>
          <w:rFonts w:eastAsia="Times New Roman"/>
          <w:b/>
          <w:position w:val="8"/>
          <w:lang w:val="en-US"/>
        </w:rPr>
        <w:t>Portfolio/Risk Management Staff</w:t>
      </w:r>
    </w:p>
    <w:p w14:paraId="3ADFFF0E" w14:textId="77777777" w:rsidR="008B4434" w:rsidRPr="004F1B06" w:rsidRDefault="008B4434" w:rsidP="008B4434">
      <w:pPr>
        <w:autoSpaceDE w:val="0"/>
        <w:autoSpaceDN w:val="0"/>
        <w:adjustRightInd w:val="0"/>
        <w:jc w:val="both"/>
        <w:rPr>
          <w:rFonts w:eastAsia="Times New Roman"/>
          <w:position w:val="8"/>
          <w:lang w:val="en-US"/>
        </w:rPr>
      </w:pPr>
    </w:p>
    <w:p w14:paraId="3E487F26" w14:textId="77777777" w:rsidR="008B4434" w:rsidRPr="004F1B06" w:rsidRDefault="008B4434" w:rsidP="008B4434">
      <w:pPr>
        <w:autoSpaceDE w:val="0"/>
        <w:autoSpaceDN w:val="0"/>
        <w:adjustRightInd w:val="0"/>
        <w:jc w:val="both"/>
        <w:rPr>
          <w:rFonts w:eastAsia="Times New Roman"/>
          <w:position w:val="8"/>
          <w:lang w:val="en-US"/>
        </w:rPr>
      </w:pPr>
      <w:r w:rsidRPr="004F1B06">
        <w:rPr>
          <w:rFonts w:eastAsia="Times New Roman"/>
          <w:position w:val="8"/>
          <w:lang w:val="en-US"/>
        </w:rPr>
        <w:t>The Company requires when delegating portfolio management (or any part thereof) and</w:t>
      </w:r>
      <w:r>
        <w:rPr>
          <w:rFonts w:eastAsia="Times New Roman"/>
          <w:position w:val="8"/>
          <w:lang w:val="en-US"/>
        </w:rPr>
        <w:t>/or risk management activities,</w:t>
      </w:r>
      <w:r w:rsidRPr="004F1B06">
        <w:rPr>
          <w:rFonts w:eastAsia="Times New Roman"/>
          <w:position w:val="8"/>
          <w:lang w:val="en-US"/>
        </w:rPr>
        <w:t xml:space="preserve"> that:</w:t>
      </w:r>
    </w:p>
    <w:p w14:paraId="7E429E15" w14:textId="77777777" w:rsidR="008B4434" w:rsidRPr="004F1B06" w:rsidRDefault="008B4434" w:rsidP="008B4434">
      <w:pPr>
        <w:autoSpaceDE w:val="0"/>
        <w:autoSpaceDN w:val="0"/>
        <w:adjustRightInd w:val="0"/>
        <w:ind w:left="360"/>
        <w:jc w:val="both"/>
        <w:rPr>
          <w:rFonts w:eastAsia="Times New Roman"/>
          <w:position w:val="8"/>
          <w:lang w:val="en-US"/>
        </w:rPr>
      </w:pPr>
    </w:p>
    <w:p w14:paraId="5CB77E31" w14:textId="77777777" w:rsidR="008B4434" w:rsidRPr="004F1B06" w:rsidRDefault="008B4434" w:rsidP="008B4434">
      <w:pPr>
        <w:autoSpaceDE w:val="0"/>
        <w:autoSpaceDN w:val="0"/>
        <w:adjustRightInd w:val="0"/>
        <w:ind w:left="709" w:hanging="709"/>
        <w:jc w:val="both"/>
        <w:rPr>
          <w:rFonts w:eastAsia="Times New Roman"/>
          <w:position w:val="8"/>
          <w:lang w:val="en-US"/>
        </w:rPr>
      </w:pPr>
      <w:r w:rsidRPr="004F1B06">
        <w:rPr>
          <w:rFonts w:eastAsia="Times New Roman"/>
          <w:position w:val="8"/>
          <w:lang w:val="en-US"/>
        </w:rPr>
        <w:t xml:space="preserve">(i) </w:t>
      </w:r>
      <w:r w:rsidRPr="004F1B06">
        <w:rPr>
          <w:rFonts w:eastAsia="Times New Roman"/>
          <w:position w:val="8"/>
          <w:lang w:val="en-US"/>
        </w:rPr>
        <w:tab/>
        <w:t xml:space="preserve">the entities to which such activities have been delegated are subject to regulatory requirements on remuneration that are equally as effective as those applicable under the </w:t>
      </w:r>
      <w:r w:rsidR="00E45F1C">
        <w:rPr>
          <w:rFonts w:eastAsia="Times New Roman"/>
          <w:position w:val="8"/>
          <w:lang w:val="en-US"/>
        </w:rPr>
        <w:t>Regulations and the ESMA Guidelines</w:t>
      </w:r>
      <w:r w:rsidRPr="004F1B06">
        <w:rPr>
          <w:rFonts w:eastAsia="Times New Roman"/>
          <w:position w:val="8"/>
          <w:lang w:val="en-US"/>
        </w:rPr>
        <w:t>; or</w:t>
      </w:r>
    </w:p>
    <w:p w14:paraId="067113AB" w14:textId="77777777" w:rsidR="008B4434" w:rsidRPr="004F1B06" w:rsidRDefault="008B4434" w:rsidP="008B4434">
      <w:pPr>
        <w:autoSpaceDE w:val="0"/>
        <w:autoSpaceDN w:val="0"/>
        <w:adjustRightInd w:val="0"/>
        <w:ind w:left="709" w:hanging="709"/>
        <w:jc w:val="both"/>
        <w:rPr>
          <w:rFonts w:eastAsia="Times New Roman"/>
          <w:position w:val="8"/>
          <w:lang w:val="en-US"/>
        </w:rPr>
      </w:pPr>
    </w:p>
    <w:p w14:paraId="3B0C2FE2" w14:textId="77777777" w:rsidR="008B4434" w:rsidRPr="004F1B06" w:rsidRDefault="008B4434" w:rsidP="008B4434">
      <w:pPr>
        <w:autoSpaceDE w:val="0"/>
        <w:autoSpaceDN w:val="0"/>
        <w:adjustRightInd w:val="0"/>
        <w:ind w:left="709" w:hanging="709"/>
        <w:jc w:val="both"/>
        <w:rPr>
          <w:rFonts w:eastAsia="Times New Roman"/>
          <w:position w:val="8"/>
          <w:lang w:val="en-US"/>
        </w:rPr>
      </w:pPr>
      <w:r w:rsidRPr="004F1B06">
        <w:rPr>
          <w:rFonts w:eastAsia="Times New Roman"/>
          <w:position w:val="8"/>
          <w:lang w:val="en-US"/>
        </w:rPr>
        <w:t xml:space="preserve">(ii) </w:t>
      </w:r>
      <w:r w:rsidRPr="004F1B06">
        <w:rPr>
          <w:rFonts w:eastAsia="Times New Roman"/>
          <w:position w:val="8"/>
          <w:lang w:val="en-US"/>
        </w:rPr>
        <w:tab/>
        <w:t xml:space="preserve">appropriate contractual arrangements are put in place with entities to which such activities have been delegated in order to ensure that there is no circumvention of the remuneration rules set out in the </w:t>
      </w:r>
      <w:r w:rsidR="00E45F1C">
        <w:rPr>
          <w:rFonts w:eastAsia="Times New Roman"/>
          <w:position w:val="8"/>
          <w:lang w:val="en-US"/>
        </w:rPr>
        <w:t xml:space="preserve">Regulations and the ESMA </w:t>
      </w:r>
      <w:proofErr w:type="gramStart"/>
      <w:r w:rsidR="00E45F1C">
        <w:rPr>
          <w:rFonts w:eastAsia="Times New Roman"/>
          <w:position w:val="8"/>
          <w:lang w:val="en-US"/>
        </w:rPr>
        <w:t xml:space="preserve">Guidelines </w:t>
      </w:r>
      <w:r w:rsidRPr="004F1B06">
        <w:rPr>
          <w:rFonts w:eastAsia="Times New Roman"/>
          <w:position w:val="8"/>
          <w:lang w:val="en-US"/>
        </w:rPr>
        <w:t>.</w:t>
      </w:r>
      <w:proofErr w:type="gramEnd"/>
      <w:r>
        <w:rPr>
          <w:rFonts w:eastAsia="Times New Roman"/>
          <w:position w:val="8"/>
          <w:lang w:val="en-US"/>
        </w:rPr>
        <w:t xml:space="preserve"> </w:t>
      </w:r>
      <w:r w:rsidRPr="004F1B06">
        <w:rPr>
          <w:rFonts w:eastAsia="Times New Roman"/>
          <w:position w:val="8"/>
          <w:lang w:val="en-US"/>
        </w:rPr>
        <w:t xml:space="preserve"> </w:t>
      </w:r>
    </w:p>
    <w:p w14:paraId="5D95C3BF" w14:textId="77777777" w:rsidR="008B4434" w:rsidRPr="004F1B06" w:rsidRDefault="008B4434" w:rsidP="008B4434">
      <w:pPr>
        <w:autoSpaceDE w:val="0"/>
        <w:autoSpaceDN w:val="0"/>
        <w:adjustRightInd w:val="0"/>
        <w:ind w:left="360"/>
        <w:jc w:val="both"/>
        <w:rPr>
          <w:rFonts w:eastAsia="Times New Roman"/>
          <w:position w:val="8"/>
          <w:lang w:val="en-US"/>
        </w:rPr>
      </w:pPr>
    </w:p>
    <w:p w14:paraId="55835DA3" w14:textId="77777777" w:rsidR="008B4434" w:rsidRDefault="008B4434" w:rsidP="008B4434">
      <w:pPr>
        <w:autoSpaceDE w:val="0"/>
        <w:autoSpaceDN w:val="0"/>
        <w:adjustRightInd w:val="0"/>
        <w:jc w:val="both"/>
        <w:rPr>
          <w:rFonts w:eastAsia="Times New Roman"/>
          <w:b/>
          <w:position w:val="8"/>
          <w:lang w:val="en-US"/>
        </w:rPr>
      </w:pPr>
      <w:r w:rsidRPr="004F1B06">
        <w:rPr>
          <w:rFonts w:eastAsia="Times New Roman"/>
          <w:position w:val="8"/>
          <w:lang w:val="en-US"/>
        </w:rPr>
        <w:lastRenderedPageBreak/>
        <w:t>The remuneration of those engaged in the performance of the risk management function reflects the achievement of the objectives linked to the risk management function, independently of the performance of the business areas in which they are engaged</w:t>
      </w:r>
      <w:r w:rsidRPr="004F1B06">
        <w:rPr>
          <w:rFonts w:eastAsia="Times New Roman"/>
          <w:b/>
          <w:position w:val="8"/>
          <w:lang w:val="en-US"/>
        </w:rPr>
        <w:t>.</w:t>
      </w:r>
    </w:p>
    <w:p w14:paraId="2BAC1B98" w14:textId="77777777" w:rsidR="00E86157" w:rsidRDefault="00E86157" w:rsidP="008B4434">
      <w:pPr>
        <w:autoSpaceDE w:val="0"/>
        <w:autoSpaceDN w:val="0"/>
        <w:adjustRightInd w:val="0"/>
        <w:jc w:val="both"/>
        <w:rPr>
          <w:rFonts w:eastAsia="Times New Roman"/>
          <w:b/>
          <w:position w:val="8"/>
          <w:lang w:val="en-US"/>
        </w:rPr>
      </w:pPr>
    </w:p>
    <w:p w14:paraId="04AB66D8" w14:textId="77777777" w:rsidR="00E86157" w:rsidRPr="004F1B06" w:rsidRDefault="00E86157" w:rsidP="00E86157">
      <w:pPr>
        <w:keepNext/>
        <w:widowControl w:val="0"/>
        <w:autoSpaceDE w:val="0"/>
        <w:autoSpaceDN w:val="0"/>
        <w:adjustRightInd w:val="0"/>
        <w:jc w:val="both"/>
        <w:rPr>
          <w:rFonts w:eastAsia="Times New Roman"/>
          <w:b/>
          <w:position w:val="8"/>
          <w:lang w:val="en-US"/>
        </w:rPr>
      </w:pPr>
      <w:r>
        <w:rPr>
          <w:rFonts w:eastAsia="Times New Roman"/>
          <w:b/>
          <w:position w:val="8"/>
          <w:lang w:val="en-US"/>
        </w:rPr>
        <w:t>Integration of Sustainability Risk</w:t>
      </w:r>
      <w:r w:rsidR="006B179D">
        <w:rPr>
          <w:rFonts w:eastAsia="Times New Roman"/>
          <w:b/>
          <w:position w:val="8"/>
          <w:lang w:val="en-US"/>
        </w:rPr>
        <w:t>s</w:t>
      </w:r>
    </w:p>
    <w:p w14:paraId="3E953107" w14:textId="77777777" w:rsidR="00560197" w:rsidRDefault="00560197" w:rsidP="008B4434">
      <w:pPr>
        <w:autoSpaceDE w:val="0"/>
        <w:autoSpaceDN w:val="0"/>
        <w:adjustRightInd w:val="0"/>
        <w:jc w:val="both"/>
        <w:rPr>
          <w:rFonts w:eastAsia="Times New Roman"/>
          <w:b/>
          <w:position w:val="8"/>
          <w:lang w:val="en-US"/>
        </w:rPr>
      </w:pPr>
    </w:p>
    <w:p w14:paraId="7C86BB19" w14:textId="77777777" w:rsidR="00E86157" w:rsidRDefault="00BA4A51" w:rsidP="008B4434">
      <w:pPr>
        <w:autoSpaceDE w:val="0"/>
        <w:autoSpaceDN w:val="0"/>
        <w:adjustRightInd w:val="0"/>
        <w:jc w:val="both"/>
        <w:rPr>
          <w:rFonts w:eastAsia="Times New Roman"/>
          <w:bCs/>
          <w:position w:val="8"/>
          <w:lang w:val="en-US"/>
        </w:rPr>
      </w:pPr>
      <w:r>
        <w:rPr>
          <w:rFonts w:eastAsia="Times New Roman"/>
          <w:bCs/>
          <w:position w:val="8"/>
          <w:lang w:val="en-US"/>
        </w:rPr>
        <w:t>Sustainability Risk</w:t>
      </w:r>
      <w:r w:rsidR="006B179D">
        <w:rPr>
          <w:rFonts w:eastAsia="Times New Roman"/>
          <w:bCs/>
          <w:position w:val="8"/>
          <w:lang w:val="en-US"/>
        </w:rPr>
        <w:t>s</w:t>
      </w:r>
      <w:r>
        <w:rPr>
          <w:rFonts w:eastAsia="Times New Roman"/>
          <w:bCs/>
          <w:position w:val="8"/>
          <w:lang w:val="en-US"/>
        </w:rPr>
        <w:t xml:space="preserve"> </w:t>
      </w:r>
      <w:r w:rsidR="006B179D">
        <w:rPr>
          <w:rFonts w:eastAsia="Times New Roman"/>
          <w:bCs/>
          <w:position w:val="8"/>
          <w:lang w:val="en-US"/>
        </w:rPr>
        <w:t>are</w:t>
      </w:r>
      <w:r>
        <w:rPr>
          <w:rFonts w:eastAsia="Times New Roman"/>
          <w:bCs/>
          <w:position w:val="8"/>
          <w:lang w:val="en-US"/>
        </w:rPr>
        <w:t xml:space="preserve"> </w:t>
      </w:r>
      <w:r w:rsidR="003D6FBD">
        <w:rPr>
          <w:rFonts w:eastAsia="Times New Roman"/>
          <w:bCs/>
          <w:position w:val="8"/>
          <w:lang w:val="en-US"/>
        </w:rPr>
        <w:t>considered as part of the</w:t>
      </w:r>
      <w:r>
        <w:rPr>
          <w:rFonts w:eastAsia="Times New Roman"/>
          <w:bCs/>
          <w:position w:val="8"/>
          <w:lang w:val="en-US"/>
        </w:rPr>
        <w:t xml:space="preserve"> risk management process for the Funds. </w:t>
      </w:r>
      <w:r w:rsidR="003D6FBD">
        <w:rPr>
          <w:rFonts w:eastAsia="Times New Roman"/>
          <w:bCs/>
          <w:position w:val="8"/>
          <w:lang w:val="en-US"/>
        </w:rPr>
        <w:t>This</w:t>
      </w:r>
      <w:r w:rsidR="00E86157">
        <w:rPr>
          <w:rFonts w:eastAsia="Times New Roman"/>
          <w:bCs/>
          <w:position w:val="8"/>
          <w:lang w:val="en-US"/>
        </w:rPr>
        <w:t xml:space="preserve"> remuneration policy</w:t>
      </w:r>
      <w:r w:rsidR="003669A7">
        <w:rPr>
          <w:rFonts w:eastAsia="Times New Roman"/>
          <w:bCs/>
          <w:position w:val="8"/>
          <w:lang w:val="en-US"/>
        </w:rPr>
        <w:t>,</w:t>
      </w:r>
      <w:r w:rsidR="00E86157">
        <w:rPr>
          <w:rFonts w:eastAsia="Times New Roman"/>
          <w:bCs/>
          <w:position w:val="8"/>
          <w:lang w:val="en-US"/>
        </w:rPr>
        <w:t xml:space="preserve"> in</w:t>
      </w:r>
      <w:r w:rsidR="003669A7">
        <w:rPr>
          <w:rFonts w:eastAsia="Times New Roman"/>
          <w:bCs/>
          <w:position w:val="8"/>
          <w:lang w:val="en-US"/>
        </w:rPr>
        <w:t xml:space="preserve">cluding the requirements </w:t>
      </w:r>
      <w:r w:rsidR="006B179D">
        <w:rPr>
          <w:rFonts w:eastAsia="Times New Roman"/>
          <w:bCs/>
          <w:position w:val="8"/>
          <w:lang w:val="en-US"/>
        </w:rPr>
        <w:t xml:space="preserve">the Company </w:t>
      </w:r>
      <w:r w:rsidR="003669A7">
        <w:rPr>
          <w:rFonts w:eastAsia="Times New Roman"/>
          <w:bCs/>
          <w:position w:val="8"/>
          <w:lang w:val="en-US"/>
        </w:rPr>
        <w:t>imposes on entities to which portfolio or risk management activities are delegated,</w:t>
      </w:r>
      <w:r w:rsidR="00E86157">
        <w:rPr>
          <w:rFonts w:eastAsia="Times New Roman"/>
          <w:bCs/>
          <w:position w:val="8"/>
          <w:lang w:val="en-US"/>
        </w:rPr>
        <w:t xml:space="preserve"> </w:t>
      </w:r>
      <w:r w:rsidR="003669A7">
        <w:rPr>
          <w:rFonts w:eastAsia="Times New Roman"/>
          <w:bCs/>
          <w:position w:val="8"/>
          <w:lang w:val="en-US"/>
        </w:rPr>
        <w:t>integrate</w:t>
      </w:r>
      <w:r w:rsidR="00270C5A">
        <w:rPr>
          <w:rFonts w:eastAsia="Times New Roman"/>
          <w:bCs/>
          <w:position w:val="8"/>
          <w:lang w:val="en-US"/>
        </w:rPr>
        <w:t>s</w:t>
      </w:r>
      <w:r w:rsidR="003669A7">
        <w:rPr>
          <w:rFonts w:eastAsia="Times New Roman"/>
          <w:bCs/>
          <w:position w:val="8"/>
          <w:lang w:val="en-US"/>
        </w:rPr>
        <w:t xml:space="preserve"> Sustainability Risk</w:t>
      </w:r>
      <w:r w:rsidR="006B179D">
        <w:rPr>
          <w:rFonts w:eastAsia="Times New Roman"/>
          <w:bCs/>
          <w:position w:val="8"/>
          <w:lang w:val="en-US"/>
        </w:rPr>
        <w:t>s</w:t>
      </w:r>
      <w:r w:rsidR="003669A7">
        <w:rPr>
          <w:rFonts w:eastAsia="Times New Roman"/>
          <w:bCs/>
          <w:position w:val="8"/>
          <w:lang w:val="en-US"/>
        </w:rPr>
        <w:t xml:space="preserve"> </w:t>
      </w:r>
      <w:r w:rsidR="006B179D">
        <w:rPr>
          <w:rFonts w:eastAsia="Times New Roman"/>
          <w:bCs/>
          <w:position w:val="8"/>
          <w:lang w:val="en-US"/>
        </w:rPr>
        <w:t xml:space="preserve">by seeking to ensure that remuneration arrangements of </w:t>
      </w:r>
      <w:r w:rsidR="00D70D9A">
        <w:rPr>
          <w:rFonts w:eastAsia="Times New Roman"/>
          <w:bCs/>
          <w:position w:val="8"/>
          <w:lang w:val="en-US"/>
        </w:rPr>
        <w:t>Identified Staff</w:t>
      </w:r>
      <w:r w:rsidR="003669A7">
        <w:rPr>
          <w:rFonts w:eastAsia="Times New Roman"/>
          <w:bCs/>
          <w:position w:val="8"/>
          <w:lang w:val="en-US"/>
        </w:rPr>
        <w:t xml:space="preserve"> </w:t>
      </w:r>
      <w:r>
        <w:rPr>
          <w:rFonts w:eastAsia="Times New Roman"/>
          <w:bCs/>
          <w:position w:val="8"/>
          <w:lang w:val="en-US"/>
        </w:rPr>
        <w:t>prevent</w:t>
      </w:r>
      <w:r w:rsidR="00D70D9A">
        <w:rPr>
          <w:rFonts w:eastAsia="Times New Roman"/>
          <w:bCs/>
          <w:position w:val="8"/>
          <w:lang w:val="en-US"/>
        </w:rPr>
        <w:t xml:space="preserve"> </w:t>
      </w:r>
      <w:r>
        <w:rPr>
          <w:rFonts w:eastAsia="Times New Roman"/>
          <w:bCs/>
          <w:position w:val="8"/>
          <w:lang w:val="en-US"/>
        </w:rPr>
        <w:t xml:space="preserve">excessive </w:t>
      </w:r>
      <w:r w:rsidR="00D70D9A">
        <w:rPr>
          <w:rFonts w:eastAsia="Times New Roman"/>
          <w:bCs/>
          <w:position w:val="8"/>
          <w:lang w:val="en-US"/>
        </w:rPr>
        <w:t>risk-taking</w:t>
      </w:r>
      <w:r>
        <w:rPr>
          <w:rFonts w:eastAsia="Times New Roman"/>
          <w:bCs/>
          <w:position w:val="8"/>
          <w:lang w:val="en-US"/>
        </w:rPr>
        <w:t>, including in respect of Sustainability Risk</w:t>
      </w:r>
      <w:r w:rsidR="006B179D">
        <w:rPr>
          <w:rFonts w:eastAsia="Times New Roman"/>
          <w:bCs/>
          <w:position w:val="8"/>
          <w:lang w:val="en-US"/>
        </w:rPr>
        <w:t>s</w:t>
      </w:r>
      <w:r w:rsidR="003D6FBD">
        <w:rPr>
          <w:rFonts w:eastAsia="Times New Roman"/>
          <w:bCs/>
          <w:position w:val="8"/>
          <w:lang w:val="en-US"/>
        </w:rPr>
        <w:t>. Th</w:t>
      </w:r>
      <w:r w:rsidR="00946F30">
        <w:rPr>
          <w:rFonts w:eastAsia="Times New Roman"/>
          <w:bCs/>
          <w:position w:val="8"/>
          <w:lang w:val="en-US"/>
        </w:rPr>
        <w:t>is is achieved by, amongst other things, the</w:t>
      </w:r>
      <w:r w:rsidR="003D6FBD">
        <w:rPr>
          <w:rFonts w:eastAsia="Times New Roman"/>
          <w:bCs/>
          <w:position w:val="8"/>
          <w:lang w:val="en-US"/>
        </w:rPr>
        <w:t xml:space="preserve"> alignment of</w:t>
      </w:r>
      <w:r w:rsidR="00946F30">
        <w:rPr>
          <w:rFonts w:eastAsia="Times New Roman"/>
          <w:bCs/>
          <w:position w:val="8"/>
          <w:lang w:val="en-US"/>
        </w:rPr>
        <w:t xml:space="preserve"> the horizon of a Fund's risk</w:t>
      </w:r>
      <w:r w:rsidR="009C2A78">
        <w:rPr>
          <w:rFonts w:eastAsia="Times New Roman"/>
          <w:bCs/>
          <w:position w:val="8"/>
          <w:lang w:val="en-US"/>
        </w:rPr>
        <w:t xml:space="preserve"> and</w:t>
      </w:r>
      <w:r w:rsidR="00946F30">
        <w:rPr>
          <w:rFonts w:eastAsia="Times New Roman"/>
          <w:bCs/>
          <w:position w:val="8"/>
          <w:lang w:val="en-US"/>
        </w:rPr>
        <w:t xml:space="preserve"> that of the </w:t>
      </w:r>
      <w:r w:rsidR="003D6FBD">
        <w:rPr>
          <w:rFonts w:eastAsia="Times New Roman"/>
          <w:bCs/>
          <w:position w:val="8"/>
          <w:lang w:val="en-US"/>
        </w:rPr>
        <w:t xml:space="preserve">measurement </w:t>
      </w:r>
      <w:r w:rsidR="00946F30">
        <w:rPr>
          <w:rFonts w:eastAsia="Times New Roman"/>
          <w:bCs/>
          <w:position w:val="8"/>
          <w:lang w:val="en-US"/>
        </w:rPr>
        <w:t xml:space="preserve">of the performance of Identified Staff. </w:t>
      </w:r>
      <w:r w:rsidR="009C2A78">
        <w:rPr>
          <w:rFonts w:eastAsia="Times New Roman"/>
          <w:bCs/>
          <w:position w:val="8"/>
          <w:lang w:val="en-US"/>
        </w:rPr>
        <w:t>Longer time horizons</w:t>
      </w:r>
      <w:r w:rsidR="00946F30">
        <w:rPr>
          <w:rFonts w:eastAsia="Times New Roman"/>
          <w:bCs/>
          <w:position w:val="8"/>
          <w:lang w:val="en-US"/>
        </w:rPr>
        <w:t xml:space="preserve"> </w:t>
      </w:r>
      <w:r w:rsidR="009C2A78">
        <w:rPr>
          <w:rFonts w:eastAsia="Times New Roman"/>
          <w:bCs/>
          <w:position w:val="8"/>
          <w:lang w:val="en-US"/>
        </w:rPr>
        <w:t>are likely to be more appropriate to Sustainable Risk</w:t>
      </w:r>
      <w:r w:rsidR="006B179D">
        <w:rPr>
          <w:rFonts w:eastAsia="Times New Roman"/>
          <w:bCs/>
          <w:position w:val="8"/>
          <w:lang w:val="en-US"/>
        </w:rPr>
        <w:t>s</w:t>
      </w:r>
      <w:r w:rsidR="009C2A78">
        <w:rPr>
          <w:rFonts w:eastAsia="Times New Roman"/>
          <w:bCs/>
          <w:position w:val="8"/>
          <w:lang w:val="en-US"/>
        </w:rPr>
        <w:t xml:space="preserve"> which are frequently more long-term in nature.</w:t>
      </w:r>
    </w:p>
    <w:p w14:paraId="57C49AF4" w14:textId="77777777" w:rsidR="008B4434" w:rsidRPr="00E86157" w:rsidRDefault="00E86157" w:rsidP="008B4434">
      <w:pPr>
        <w:autoSpaceDE w:val="0"/>
        <w:autoSpaceDN w:val="0"/>
        <w:adjustRightInd w:val="0"/>
        <w:jc w:val="both"/>
        <w:rPr>
          <w:rFonts w:eastAsia="Times New Roman"/>
          <w:bCs/>
          <w:position w:val="8"/>
          <w:lang w:val="en-US"/>
        </w:rPr>
      </w:pPr>
      <w:r>
        <w:rPr>
          <w:rFonts w:eastAsia="Times New Roman"/>
          <w:bCs/>
          <w:position w:val="8"/>
          <w:lang w:val="en-US"/>
        </w:rPr>
        <w:t xml:space="preserve"> </w:t>
      </w:r>
    </w:p>
    <w:p w14:paraId="2C7959A2" w14:textId="77777777" w:rsidR="008B4434" w:rsidRPr="004F1B06" w:rsidRDefault="008B4434" w:rsidP="003B7853">
      <w:pPr>
        <w:keepNext/>
        <w:widowControl w:val="0"/>
        <w:autoSpaceDE w:val="0"/>
        <w:autoSpaceDN w:val="0"/>
        <w:adjustRightInd w:val="0"/>
        <w:jc w:val="both"/>
        <w:rPr>
          <w:rFonts w:eastAsia="Times New Roman"/>
          <w:b/>
          <w:position w:val="8"/>
          <w:lang w:val="en-US"/>
        </w:rPr>
      </w:pPr>
      <w:r w:rsidRPr="004F1B06">
        <w:rPr>
          <w:rFonts w:eastAsia="Times New Roman"/>
          <w:b/>
          <w:position w:val="8"/>
          <w:lang w:val="en-US"/>
        </w:rPr>
        <w:t>Other Identified Staff</w:t>
      </w:r>
    </w:p>
    <w:p w14:paraId="46707145" w14:textId="77777777" w:rsidR="008B4434" w:rsidRPr="004F1B06" w:rsidRDefault="008B4434" w:rsidP="003B7853">
      <w:pPr>
        <w:keepNext/>
        <w:widowControl w:val="0"/>
        <w:autoSpaceDE w:val="0"/>
        <w:autoSpaceDN w:val="0"/>
        <w:adjustRightInd w:val="0"/>
        <w:jc w:val="both"/>
        <w:rPr>
          <w:rFonts w:eastAsia="Times New Roman"/>
          <w:position w:val="8"/>
          <w:lang w:val="en-US"/>
        </w:rPr>
      </w:pPr>
    </w:p>
    <w:p w14:paraId="62B6409A" w14:textId="77777777" w:rsidR="008B4434" w:rsidRPr="004F1B06" w:rsidRDefault="008B4434" w:rsidP="003B7853">
      <w:pPr>
        <w:keepNext/>
        <w:widowControl w:val="0"/>
        <w:autoSpaceDE w:val="0"/>
        <w:autoSpaceDN w:val="0"/>
        <w:adjustRightInd w:val="0"/>
        <w:jc w:val="both"/>
        <w:rPr>
          <w:rFonts w:eastAsia="Times New Roman"/>
          <w:position w:val="8"/>
          <w:lang w:val="en-US"/>
        </w:rPr>
      </w:pPr>
      <w:r w:rsidRPr="004F1B06">
        <w:rPr>
          <w:rFonts w:eastAsia="Times New Roman"/>
          <w:position w:val="8"/>
          <w:lang w:val="en-US"/>
        </w:rPr>
        <w:t>The method of determining the remuneration of the Head of Operations, Compliance Officer and other persons in the compliance function does not affect their objectivity and is not likely to do so as their remuneration is not linked in any way to the Fund’s performance.</w:t>
      </w:r>
    </w:p>
    <w:p w14:paraId="04D93A4D" w14:textId="77777777" w:rsidR="008B4434" w:rsidRPr="004F1B06" w:rsidRDefault="008B4434" w:rsidP="008B4434">
      <w:pPr>
        <w:autoSpaceDE w:val="0"/>
        <w:autoSpaceDN w:val="0"/>
        <w:adjustRightInd w:val="0"/>
        <w:jc w:val="both"/>
        <w:rPr>
          <w:rFonts w:eastAsia="Times New Roman"/>
          <w:position w:val="8"/>
          <w:lang w:val="en-US"/>
        </w:rPr>
      </w:pPr>
    </w:p>
    <w:p w14:paraId="1C9E5419" w14:textId="77777777" w:rsidR="008B4434" w:rsidRPr="004F1B06" w:rsidRDefault="008B4434" w:rsidP="008B4434">
      <w:pPr>
        <w:autoSpaceDE w:val="0"/>
        <w:autoSpaceDN w:val="0"/>
        <w:adjustRightInd w:val="0"/>
        <w:jc w:val="both"/>
        <w:rPr>
          <w:rFonts w:eastAsia="Times New Roman"/>
          <w:position w:val="8"/>
          <w:lang w:val="en-US"/>
        </w:rPr>
      </w:pPr>
      <w:r w:rsidRPr="004F1B06">
        <w:rPr>
          <w:rFonts w:eastAsia="Times New Roman"/>
          <w:position w:val="8"/>
          <w:lang w:val="en-US"/>
        </w:rPr>
        <w:t>The method of determining the remuneration of the Management Function does not affect its objectivity and it is not likely to do so as their remuneration is not linked in any way to the Fund’s performance.</w:t>
      </w:r>
    </w:p>
    <w:p w14:paraId="010CF86F" w14:textId="77777777" w:rsidR="008B4434" w:rsidRPr="004F1B06" w:rsidRDefault="008B4434" w:rsidP="008B4434">
      <w:pPr>
        <w:autoSpaceDE w:val="0"/>
        <w:autoSpaceDN w:val="0"/>
        <w:adjustRightInd w:val="0"/>
        <w:jc w:val="both"/>
        <w:rPr>
          <w:rFonts w:eastAsia="Times New Roman"/>
          <w:b/>
          <w:position w:val="8"/>
          <w:lang w:val="en-US"/>
        </w:rPr>
      </w:pPr>
    </w:p>
    <w:p w14:paraId="69A37A63" w14:textId="77777777" w:rsidR="008B4434" w:rsidRPr="004F1B06" w:rsidRDefault="008B4434" w:rsidP="008B4434">
      <w:pPr>
        <w:jc w:val="both"/>
        <w:rPr>
          <w:b/>
        </w:rPr>
      </w:pPr>
      <w:r w:rsidRPr="004F1B06">
        <w:rPr>
          <w:b/>
        </w:rPr>
        <w:t>Non-Executive Directors</w:t>
      </w:r>
    </w:p>
    <w:p w14:paraId="3F9B0D6B" w14:textId="77777777" w:rsidR="008B4434" w:rsidRPr="004F1B06" w:rsidRDefault="008B4434" w:rsidP="008B4434">
      <w:pPr>
        <w:jc w:val="both"/>
      </w:pPr>
    </w:p>
    <w:p w14:paraId="3A5EA4ED" w14:textId="77777777" w:rsidR="008B4434" w:rsidRPr="004F1B06" w:rsidRDefault="008B4434" w:rsidP="008B4434">
      <w:pPr>
        <w:jc w:val="both"/>
      </w:pPr>
      <w:r w:rsidRPr="004F1B06">
        <w:t>The Non-Executive members of the Board of Directors receive a fixed fee only and do not receive performance-based remuneration therefore avoiding a potential conflict of interest. The basic fee of a Non-Executive Board member is set at a level that is on par with the rest of the market and reflects the qualifications and contribution required in view of the Company’s complexity, the extent of the responsibilities and the number of board meetings. No pension contributions are payable on Non-Executive Board members’ fees.</w:t>
      </w:r>
    </w:p>
    <w:p w14:paraId="5BE9F6E1" w14:textId="77777777" w:rsidR="008B4434" w:rsidRPr="004F1B06" w:rsidRDefault="008B4434" w:rsidP="008B4434">
      <w:pPr>
        <w:jc w:val="both"/>
      </w:pPr>
    </w:p>
    <w:p w14:paraId="39B10D53" w14:textId="77777777" w:rsidR="008B4434" w:rsidRPr="004F1B06" w:rsidRDefault="008B4434" w:rsidP="008B4434">
      <w:pPr>
        <w:jc w:val="both"/>
      </w:pPr>
      <w:r w:rsidRPr="004F1B06">
        <w:t xml:space="preserve">Taking the nature, </w:t>
      </w:r>
      <w:proofErr w:type="gramStart"/>
      <w:r w:rsidRPr="004F1B06">
        <w:t>scale</w:t>
      </w:r>
      <w:proofErr w:type="gramEnd"/>
      <w:r w:rsidRPr="004F1B06">
        <w:t xml:space="preserve"> and complexity of the Company into consideration, the Board of Directors believes that the approach to performance-based pay as outlined above is appropriate and reflects the risk profile, appetite and strategy of the Company.</w:t>
      </w:r>
    </w:p>
    <w:p w14:paraId="5858FF18" w14:textId="77777777" w:rsidR="008B4434" w:rsidRPr="004F1B06" w:rsidRDefault="008B4434" w:rsidP="008B4434">
      <w:pPr>
        <w:autoSpaceDE w:val="0"/>
        <w:autoSpaceDN w:val="0"/>
        <w:adjustRightInd w:val="0"/>
        <w:jc w:val="both"/>
        <w:rPr>
          <w:rFonts w:eastAsia="Times New Roman"/>
          <w:b/>
          <w:position w:val="8"/>
          <w:lang w:val="en-US"/>
        </w:rPr>
      </w:pPr>
    </w:p>
    <w:p w14:paraId="693F22AB" w14:textId="77777777" w:rsidR="008B4434" w:rsidRPr="00D138CF" w:rsidRDefault="008B4434" w:rsidP="008B4434">
      <w:pPr>
        <w:autoSpaceDE w:val="0"/>
        <w:autoSpaceDN w:val="0"/>
        <w:adjustRightInd w:val="0"/>
        <w:jc w:val="both"/>
        <w:rPr>
          <w:rFonts w:eastAsia="Times New Roman"/>
          <w:b/>
          <w:position w:val="8"/>
          <w:lang w:val="en-US"/>
        </w:rPr>
      </w:pPr>
      <w:r w:rsidRPr="00D138CF">
        <w:rPr>
          <w:rFonts w:eastAsia="Times New Roman"/>
          <w:b/>
          <w:position w:val="8"/>
          <w:lang w:val="en-US"/>
        </w:rPr>
        <w:t>Remuneration Committee</w:t>
      </w:r>
    </w:p>
    <w:p w14:paraId="3621E9FD" w14:textId="77777777" w:rsidR="00E45F1C" w:rsidRDefault="00E45F1C" w:rsidP="008B4434">
      <w:pPr>
        <w:jc w:val="both"/>
        <w:rPr>
          <w:rFonts w:eastAsia="Times New Roman"/>
          <w:bCs/>
          <w:iCs/>
          <w:position w:val="8"/>
          <w:lang w:val="en-US"/>
        </w:rPr>
      </w:pPr>
    </w:p>
    <w:p w14:paraId="4E1A7004" w14:textId="77777777" w:rsidR="008B4434" w:rsidRPr="00E45F1C" w:rsidRDefault="008B4434" w:rsidP="008B4434">
      <w:pPr>
        <w:jc w:val="both"/>
        <w:rPr>
          <w:bCs/>
          <w:iCs/>
        </w:rPr>
      </w:pPr>
      <w:r w:rsidRPr="00E45F1C">
        <w:rPr>
          <w:rFonts w:eastAsia="Times New Roman"/>
          <w:bCs/>
          <w:iCs/>
          <w:position w:val="8"/>
          <w:lang w:val="en-US"/>
        </w:rPr>
        <w:t>The Company does not</w:t>
      </w:r>
      <w:r w:rsidR="00E45F1C">
        <w:rPr>
          <w:rFonts w:eastAsia="Times New Roman"/>
          <w:bCs/>
          <w:iCs/>
          <w:position w:val="8"/>
          <w:lang w:val="en-US"/>
        </w:rPr>
        <w:t>,</w:t>
      </w:r>
      <w:r w:rsidRPr="00E45F1C">
        <w:rPr>
          <w:rFonts w:eastAsia="Times New Roman"/>
          <w:bCs/>
          <w:iCs/>
          <w:position w:val="8"/>
          <w:lang w:val="en-US"/>
        </w:rPr>
        <w:t xml:space="preserve"> based on its size</w:t>
      </w:r>
      <w:r w:rsidR="00E45F1C">
        <w:rPr>
          <w:rFonts w:eastAsia="Times New Roman"/>
          <w:bCs/>
          <w:iCs/>
          <w:position w:val="8"/>
          <w:lang w:val="en-US"/>
        </w:rPr>
        <w:t>,</w:t>
      </w:r>
      <w:r w:rsidRPr="00E45F1C">
        <w:rPr>
          <w:rFonts w:eastAsia="Times New Roman"/>
          <w:bCs/>
          <w:iCs/>
          <w:position w:val="8"/>
          <w:lang w:val="en-US"/>
        </w:rPr>
        <w:t xml:space="preserve"> internal </w:t>
      </w:r>
      <w:proofErr w:type="spellStart"/>
      <w:r w:rsidRPr="00E45F1C">
        <w:rPr>
          <w:rFonts w:eastAsia="Times New Roman"/>
          <w:bCs/>
          <w:iCs/>
          <w:position w:val="8"/>
          <w:lang w:val="en-US"/>
        </w:rPr>
        <w:t>organisation</w:t>
      </w:r>
      <w:proofErr w:type="spellEnd"/>
      <w:r w:rsidRPr="00E45F1C">
        <w:rPr>
          <w:rFonts w:eastAsia="Times New Roman"/>
          <w:bCs/>
          <w:iCs/>
          <w:position w:val="8"/>
          <w:lang w:val="en-US"/>
        </w:rPr>
        <w:t xml:space="preserve"> and the nature, </w:t>
      </w:r>
      <w:proofErr w:type="gramStart"/>
      <w:r w:rsidRPr="00E45F1C">
        <w:rPr>
          <w:rFonts w:eastAsia="Times New Roman"/>
          <w:bCs/>
          <w:iCs/>
          <w:position w:val="8"/>
          <w:lang w:val="en-US"/>
        </w:rPr>
        <w:t>scope</w:t>
      </w:r>
      <w:proofErr w:type="gramEnd"/>
      <w:r w:rsidRPr="00E45F1C">
        <w:rPr>
          <w:rFonts w:eastAsia="Times New Roman"/>
          <w:bCs/>
          <w:iCs/>
          <w:position w:val="8"/>
          <w:lang w:val="en-US"/>
        </w:rPr>
        <w:t xml:space="preserve"> and complexity of its activities</w:t>
      </w:r>
      <w:r w:rsidR="00E45F1C">
        <w:rPr>
          <w:rFonts w:eastAsia="Times New Roman"/>
          <w:bCs/>
          <w:iCs/>
          <w:position w:val="8"/>
          <w:lang w:val="en-US"/>
        </w:rPr>
        <w:t>,</w:t>
      </w:r>
      <w:r w:rsidRPr="00E45F1C">
        <w:rPr>
          <w:rFonts w:eastAsia="Times New Roman"/>
          <w:bCs/>
          <w:iCs/>
          <w:position w:val="8"/>
          <w:lang w:val="en-US"/>
        </w:rPr>
        <w:t xml:space="preserve"> consider it necessary to establish a remuneration committee. </w:t>
      </w:r>
    </w:p>
    <w:p w14:paraId="674832E0" w14:textId="77777777" w:rsidR="008B4434" w:rsidRDefault="008B4434" w:rsidP="008B4434">
      <w:pPr>
        <w:jc w:val="both"/>
        <w:rPr>
          <w:b/>
        </w:rPr>
      </w:pPr>
    </w:p>
    <w:p w14:paraId="57D4AB04" w14:textId="77777777" w:rsidR="008B4434" w:rsidRPr="004F1B06" w:rsidRDefault="008B4434" w:rsidP="00BA4A51">
      <w:pPr>
        <w:keepNext/>
        <w:widowControl w:val="0"/>
        <w:jc w:val="both"/>
        <w:rPr>
          <w:b/>
        </w:rPr>
      </w:pPr>
      <w:r w:rsidRPr="004F1B06">
        <w:rPr>
          <w:b/>
        </w:rPr>
        <w:lastRenderedPageBreak/>
        <w:t>Annual Review</w:t>
      </w:r>
    </w:p>
    <w:p w14:paraId="14B1AB05" w14:textId="77777777" w:rsidR="008B4434" w:rsidRPr="004F1B06" w:rsidRDefault="008B4434" w:rsidP="00BA4A51">
      <w:pPr>
        <w:keepNext/>
        <w:widowControl w:val="0"/>
        <w:jc w:val="both"/>
      </w:pPr>
    </w:p>
    <w:p w14:paraId="7EFAAE3D" w14:textId="77777777" w:rsidR="008B4434" w:rsidRDefault="008B4434" w:rsidP="00BA4A51">
      <w:pPr>
        <w:keepNext/>
        <w:widowControl w:val="0"/>
        <w:jc w:val="both"/>
        <w:rPr>
          <w:rFonts w:eastAsia="Times New Roman"/>
          <w:lang w:val="en-GB"/>
        </w:rPr>
      </w:pPr>
      <w:r w:rsidRPr="004F1B06">
        <w:rPr>
          <w:position w:val="8"/>
        </w:rPr>
        <w:t xml:space="preserve">This remuneration policy (together with compliance herewith) </w:t>
      </w:r>
      <w:r>
        <w:rPr>
          <w:position w:val="8"/>
        </w:rPr>
        <w:t>will be subject to central and</w:t>
      </w:r>
      <w:r>
        <w:rPr>
          <w:rFonts w:eastAsia="Times New Roman"/>
          <w:lang w:val="en-GB"/>
        </w:rPr>
        <w:t xml:space="preserve"> independent </w:t>
      </w:r>
      <w:r w:rsidRPr="002E6773">
        <w:rPr>
          <w:rFonts w:eastAsia="Times New Roman"/>
          <w:lang w:val="en-GB"/>
        </w:rPr>
        <w:t xml:space="preserve">internal </w:t>
      </w:r>
      <w:r>
        <w:rPr>
          <w:rFonts w:eastAsia="Times New Roman"/>
          <w:lang w:val="en-GB"/>
        </w:rPr>
        <w:t>annual review by the Board</w:t>
      </w:r>
      <w:r w:rsidRPr="002E6773">
        <w:rPr>
          <w:rFonts w:eastAsia="Times New Roman"/>
          <w:lang w:val="en-GB"/>
        </w:rPr>
        <w:t xml:space="preserve">. Given the nature, scale and complexity of </w:t>
      </w:r>
      <w:r>
        <w:rPr>
          <w:rFonts w:eastAsia="Times New Roman"/>
          <w:lang w:val="en-GB"/>
        </w:rPr>
        <w:t>the Company</w:t>
      </w:r>
      <w:r w:rsidRPr="002E6773">
        <w:rPr>
          <w:rFonts w:eastAsia="Times New Roman"/>
          <w:lang w:val="en-GB"/>
        </w:rPr>
        <w:t>, its remuneration policy will not be subject to an external, independent review.</w:t>
      </w:r>
    </w:p>
    <w:p w14:paraId="71FB48AD" w14:textId="77777777" w:rsidR="00E45F1C" w:rsidRDefault="00E45F1C" w:rsidP="008B4434">
      <w:pPr>
        <w:jc w:val="both"/>
        <w:rPr>
          <w:rFonts w:eastAsia="Times New Roman"/>
          <w:lang w:val="en-GB"/>
        </w:rPr>
      </w:pPr>
    </w:p>
    <w:p w14:paraId="5020120D" w14:textId="77777777" w:rsidR="008B4434" w:rsidRPr="004F1B06" w:rsidRDefault="008B4434" w:rsidP="00151D5F">
      <w:pPr>
        <w:keepNext/>
        <w:widowControl w:val="0"/>
        <w:jc w:val="both"/>
        <w:rPr>
          <w:position w:val="8"/>
        </w:rPr>
      </w:pPr>
      <w:r w:rsidRPr="004F1B06">
        <w:rPr>
          <w:position w:val="8"/>
        </w:rPr>
        <w:t>These reviews will ensure that:</w:t>
      </w:r>
    </w:p>
    <w:p w14:paraId="79616AA4" w14:textId="77777777" w:rsidR="008B4434" w:rsidRPr="004F1B06" w:rsidRDefault="008B4434" w:rsidP="00151D5F">
      <w:pPr>
        <w:keepNext/>
        <w:widowControl w:val="0"/>
        <w:jc w:val="both"/>
        <w:rPr>
          <w:position w:val="8"/>
        </w:rPr>
      </w:pPr>
    </w:p>
    <w:p w14:paraId="29450154" w14:textId="77777777" w:rsidR="008B4434" w:rsidRPr="004F1B06" w:rsidRDefault="008B4434" w:rsidP="00151D5F">
      <w:pPr>
        <w:keepNext/>
        <w:widowControl w:val="0"/>
        <w:numPr>
          <w:ilvl w:val="0"/>
          <w:numId w:val="1"/>
        </w:numPr>
        <w:autoSpaceDE w:val="0"/>
        <w:autoSpaceDN w:val="0"/>
        <w:adjustRightInd w:val="0"/>
        <w:ind w:left="709" w:hanging="709"/>
        <w:jc w:val="both"/>
        <w:rPr>
          <w:rFonts w:eastAsia="Times New Roman"/>
          <w:position w:val="8"/>
          <w:lang w:val="en-US"/>
        </w:rPr>
      </w:pPr>
      <w:r w:rsidRPr="004F1B06">
        <w:rPr>
          <w:rFonts w:eastAsia="Times New Roman"/>
          <w:position w:val="8"/>
          <w:lang w:val="en-US"/>
        </w:rPr>
        <w:t xml:space="preserve">the overall remuneration system operates as </w:t>
      </w:r>
      <w:proofErr w:type="gramStart"/>
      <w:r w:rsidRPr="004F1B06">
        <w:rPr>
          <w:rFonts w:eastAsia="Times New Roman"/>
          <w:position w:val="8"/>
          <w:lang w:val="en-US"/>
        </w:rPr>
        <w:t>intended;</w:t>
      </w:r>
      <w:proofErr w:type="gramEnd"/>
    </w:p>
    <w:p w14:paraId="5750AEC8" w14:textId="77777777" w:rsidR="008B4434" w:rsidRPr="004F1B06" w:rsidRDefault="008B4434" w:rsidP="008B4434">
      <w:pPr>
        <w:numPr>
          <w:ilvl w:val="0"/>
          <w:numId w:val="1"/>
        </w:numPr>
        <w:autoSpaceDE w:val="0"/>
        <w:autoSpaceDN w:val="0"/>
        <w:adjustRightInd w:val="0"/>
        <w:ind w:left="709" w:hanging="709"/>
        <w:jc w:val="both"/>
        <w:rPr>
          <w:rFonts w:eastAsia="Times New Roman"/>
          <w:position w:val="8"/>
          <w:lang w:val="en-US"/>
        </w:rPr>
      </w:pPr>
      <w:r w:rsidRPr="004F1B06">
        <w:rPr>
          <w:rFonts w:eastAsia="Times New Roman"/>
          <w:position w:val="8"/>
          <w:lang w:val="en-US"/>
        </w:rPr>
        <w:t xml:space="preserve">the remuneration pay-outs are </w:t>
      </w:r>
      <w:proofErr w:type="gramStart"/>
      <w:r w:rsidRPr="004F1B06">
        <w:rPr>
          <w:rFonts w:eastAsia="Times New Roman"/>
          <w:position w:val="8"/>
          <w:lang w:val="en-US"/>
        </w:rPr>
        <w:t>appropriate;</w:t>
      </w:r>
      <w:proofErr w:type="gramEnd"/>
    </w:p>
    <w:p w14:paraId="4D4E227F" w14:textId="77777777" w:rsidR="008B4434" w:rsidRPr="004F1B06" w:rsidRDefault="008B4434" w:rsidP="008B4434">
      <w:pPr>
        <w:numPr>
          <w:ilvl w:val="0"/>
          <w:numId w:val="1"/>
        </w:numPr>
        <w:autoSpaceDE w:val="0"/>
        <w:autoSpaceDN w:val="0"/>
        <w:adjustRightInd w:val="0"/>
        <w:ind w:left="709" w:hanging="709"/>
        <w:jc w:val="both"/>
        <w:rPr>
          <w:rFonts w:eastAsia="Times New Roman"/>
          <w:position w:val="8"/>
          <w:lang w:val="en-US"/>
        </w:rPr>
      </w:pPr>
      <w:r w:rsidRPr="004F1B06">
        <w:rPr>
          <w:rFonts w:eastAsia="Times New Roman"/>
          <w:position w:val="8"/>
          <w:lang w:val="en-US"/>
        </w:rPr>
        <w:t>the risk profile, long term objectives and goals of the Company are adequately reflected; and</w:t>
      </w:r>
    </w:p>
    <w:p w14:paraId="498E34EF" w14:textId="77777777" w:rsidR="008B4434" w:rsidRPr="004F1B06" w:rsidRDefault="008B4434" w:rsidP="008B4434">
      <w:pPr>
        <w:numPr>
          <w:ilvl w:val="0"/>
          <w:numId w:val="1"/>
        </w:numPr>
        <w:autoSpaceDE w:val="0"/>
        <w:autoSpaceDN w:val="0"/>
        <w:adjustRightInd w:val="0"/>
        <w:ind w:left="709" w:hanging="709"/>
        <w:jc w:val="both"/>
        <w:rPr>
          <w:rFonts w:eastAsia="Times New Roman"/>
          <w:position w:val="8"/>
          <w:lang w:val="en-US"/>
        </w:rPr>
      </w:pPr>
      <w:r w:rsidRPr="004F1B06">
        <w:rPr>
          <w:rFonts w:eastAsia="Times New Roman"/>
          <w:position w:val="8"/>
          <w:lang w:val="en-US"/>
        </w:rPr>
        <w:t>the policy reflects best practice guidelines and regulatory requirements.</w:t>
      </w:r>
    </w:p>
    <w:p w14:paraId="6F9183A5" w14:textId="77777777" w:rsidR="008B4434" w:rsidRPr="004F1B06" w:rsidRDefault="008B4434" w:rsidP="008B4434">
      <w:pPr>
        <w:jc w:val="both"/>
      </w:pPr>
    </w:p>
    <w:p w14:paraId="3C745471" w14:textId="77777777" w:rsidR="008B4434" w:rsidRPr="004F1B06" w:rsidRDefault="008B4434" w:rsidP="008B4434">
      <w:pPr>
        <w:jc w:val="both"/>
        <w:rPr>
          <w:position w:val="8"/>
        </w:rPr>
      </w:pPr>
      <w:r w:rsidRPr="004F1B06">
        <w:rPr>
          <w:position w:val="8"/>
        </w:rPr>
        <w:t>The Designated Person will take appropriate measures to address any deficiencies.</w:t>
      </w:r>
    </w:p>
    <w:p w14:paraId="55D8447F" w14:textId="77777777" w:rsidR="008B4434" w:rsidRDefault="008B4434" w:rsidP="008B4434">
      <w:pPr>
        <w:jc w:val="both"/>
      </w:pPr>
    </w:p>
    <w:p w14:paraId="64C8A6FC" w14:textId="77777777" w:rsidR="008B4434" w:rsidRPr="004F1B06" w:rsidRDefault="008B4434" w:rsidP="008B4434">
      <w:pPr>
        <w:jc w:val="both"/>
        <w:rPr>
          <w:b/>
          <w:position w:val="8"/>
        </w:rPr>
      </w:pPr>
      <w:r w:rsidRPr="004F1B06">
        <w:rPr>
          <w:b/>
          <w:position w:val="8"/>
        </w:rPr>
        <w:t>Remuneration: Role of the Designated Person</w:t>
      </w:r>
    </w:p>
    <w:p w14:paraId="00BAEC24" w14:textId="77777777" w:rsidR="008B4434" w:rsidRPr="004F1B06" w:rsidRDefault="008B4434" w:rsidP="008B4434">
      <w:pPr>
        <w:jc w:val="both"/>
      </w:pPr>
    </w:p>
    <w:p w14:paraId="1E01C559" w14:textId="77777777" w:rsidR="008B4434" w:rsidRPr="004F1B06" w:rsidRDefault="008B4434" w:rsidP="00E45F1C">
      <w:pPr>
        <w:jc w:val="both"/>
        <w:rPr>
          <w:rFonts w:cs="Times New Roman"/>
        </w:rPr>
      </w:pPr>
      <w:r w:rsidRPr="004F1B06">
        <w:t>The Designated Person and ultimately the Board of Directors are responsible for overseeing the central and independent review of the implementation of the Company’s remuneration policies and practices.  T</w:t>
      </w:r>
      <w:r w:rsidRPr="004F1B06">
        <w:rPr>
          <w:rFonts w:cs="Times New Roman"/>
          <w:bCs/>
        </w:rPr>
        <w:t>he role of the Designated Person is to review the compensation levels of relevant members of staff to ensure same is consistent with the Company’s remuneration policies and practices.</w:t>
      </w:r>
    </w:p>
    <w:p w14:paraId="44FC9783" w14:textId="77777777" w:rsidR="008B4434" w:rsidRPr="004F1B06" w:rsidRDefault="008B4434" w:rsidP="00E45F1C">
      <w:pPr>
        <w:jc w:val="both"/>
        <w:rPr>
          <w:rFonts w:cs="Times New Roman"/>
          <w:bCs/>
        </w:rPr>
      </w:pPr>
    </w:p>
    <w:p w14:paraId="294D5A11" w14:textId="77777777" w:rsidR="008B4434" w:rsidRPr="004F1B06" w:rsidRDefault="008B4434" w:rsidP="00E45F1C">
      <w:pPr>
        <w:jc w:val="both"/>
        <w:rPr>
          <w:rFonts w:cs="Times New Roman"/>
          <w:bCs/>
        </w:rPr>
      </w:pPr>
      <w:r w:rsidRPr="004F1B06">
        <w:rPr>
          <w:rFonts w:cs="Times New Roman"/>
          <w:bCs/>
        </w:rPr>
        <w:t>The Designated Person will periodically monitor the implementation of the remuneration policies and practices established for the Company (at least annually).</w:t>
      </w:r>
    </w:p>
    <w:p w14:paraId="1784F553" w14:textId="77777777" w:rsidR="008B4434" w:rsidRPr="004F1B06" w:rsidRDefault="008B4434" w:rsidP="00E45F1C">
      <w:pPr>
        <w:jc w:val="both"/>
      </w:pPr>
    </w:p>
    <w:p w14:paraId="62C43F00" w14:textId="77777777" w:rsidR="008B4434" w:rsidRPr="004F1B06" w:rsidRDefault="008B4434" w:rsidP="00E45F1C">
      <w:pPr>
        <w:jc w:val="both"/>
        <w:rPr>
          <w:noProof/>
          <w:szCs w:val="24"/>
          <w:lang w:val="en-US"/>
        </w:rPr>
      </w:pPr>
      <w:r w:rsidRPr="004F1B06">
        <w:rPr>
          <w:noProof/>
          <w:szCs w:val="24"/>
          <w:lang w:val="en-US"/>
        </w:rPr>
        <w:t>The Company has appointed Carey Millerd as designated person (the “</w:t>
      </w:r>
      <w:r w:rsidRPr="00E45F1C">
        <w:rPr>
          <w:b/>
          <w:bCs/>
          <w:noProof/>
          <w:szCs w:val="24"/>
          <w:lang w:val="en-US"/>
        </w:rPr>
        <w:t>Designated Person</w:t>
      </w:r>
      <w:r w:rsidRPr="004F1B06">
        <w:rPr>
          <w:noProof/>
          <w:szCs w:val="24"/>
          <w:lang w:val="en-US"/>
        </w:rPr>
        <w:t>”) with responsibility for oversight and implementation of this remuneration policy.</w:t>
      </w:r>
    </w:p>
    <w:p w14:paraId="1DB1D8A4" w14:textId="77777777" w:rsidR="008B4434" w:rsidRPr="004F1B06" w:rsidRDefault="008B4434" w:rsidP="00E45F1C">
      <w:pPr>
        <w:jc w:val="both"/>
        <w:rPr>
          <w:noProof/>
          <w:szCs w:val="24"/>
          <w:lang w:val="en-US"/>
        </w:rPr>
      </w:pPr>
    </w:p>
    <w:p w14:paraId="4AD0C5CC" w14:textId="77777777" w:rsidR="008B4434" w:rsidRPr="004F1B06" w:rsidRDefault="008B4434" w:rsidP="00E45F1C">
      <w:pPr>
        <w:jc w:val="both"/>
        <w:rPr>
          <w:noProof/>
          <w:szCs w:val="24"/>
          <w:lang w:val="en-US"/>
        </w:rPr>
      </w:pPr>
      <w:r w:rsidRPr="004F1B06">
        <w:rPr>
          <w:noProof/>
          <w:szCs w:val="24"/>
          <w:lang w:val="en-US"/>
        </w:rPr>
        <w:t>This remuneration policy has been approved by the Board of Directors of the Company. Any amendments to this policy will be subject to the prior approval of the Board of Directors.</w:t>
      </w:r>
    </w:p>
    <w:p w14:paraId="4641021E" w14:textId="77777777" w:rsidR="008B4434" w:rsidRPr="004F1B06" w:rsidRDefault="008B4434" w:rsidP="008B4434"/>
    <w:p w14:paraId="46FB1F07" w14:textId="77777777" w:rsidR="008B4434" w:rsidRPr="004F1B06" w:rsidRDefault="008B4434" w:rsidP="008B4434">
      <w:pPr>
        <w:tabs>
          <w:tab w:val="left" w:pos="360"/>
          <w:tab w:val="left" w:pos="720"/>
        </w:tabs>
        <w:jc w:val="both"/>
        <w:rPr>
          <w:b/>
        </w:rPr>
      </w:pPr>
      <w:r w:rsidRPr="004F1B06">
        <w:rPr>
          <w:b/>
        </w:rPr>
        <w:t xml:space="preserve">Circumstances where action is </w:t>
      </w:r>
      <w:proofErr w:type="gramStart"/>
      <w:r w:rsidRPr="004F1B06">
        <w:rPr>
          <w:b/>
        </w:rPr>
        <w:t>required</w:t>
      </w:r>
      <w:proofErr w:type="gramEnd"/>
    </w:p>
    <w:p w14:paraId="2AE21920" w14:textId="77777777" w:rsidR="008B4434" w:rsidRPr="004F1B06" w:rsidRDefault="008B4434" w:rsidP="008B4434">
      <w:pPr>
        <w:tabs>
          <w:tab w:val="left" w:pos="360"/>
          <w:tab w:val="left" w:pos="720"/>
        </w:tabs>
        <w:jc w:val="both"/>
        <w:rPr>
          <w:u w:val="single"/>
        </w:rPr>
      </w:pPr>
    </w:p>
    <w:p w14:paraId="3EEAA256" w14:textId="77777777" w:rsidR="008B4434" w:rsidRPr="004F1B06" w:rsidRDefault="008B4434" w:rsidP="00E45F1C">
      <w:pPr>
        <w:spacing w:after="120"/>
        <w:jc w:val="both"/>
      </w:pPr>
      <w:r w:rsidRPr="004F1B06">
        <w:t>Following a review of adherence to the Company’s remuneration policies and procedures, action may be required if remuneration levels do not adhere to the principles set out therein or is at a level which is unacceptable or gives rise to conflicts of interest. The action to be taken may include possible revision of the level of remuneration payable to the individual(s) concerned.</w:t>
      </w:r>
    </w:p>
    <w:p w14:paraId="4A62A28C" w14:textId="77777777" w:rsidR="008B4434" w:rsidRPr="004F1B06" w:rsidRDefault="008B4434" w:rsidP="00E45F1C">
      <w:pPr>
        <w:tabs>
          <w:tab w:val="left" w:pos="360"/>
          <w:tab w:val="left" w:pos="720"/>
        </w:tabs>
        <w:jc w:val="both"/>
        <w:rPr>
          <w:noProof/>
        </w:rPr>
      </w:pPr>
    </w:p>
    <w:p w14:paraId="45029E84" w14:textId="77777777" w:rsidR="008B4434" w:rsidRPr="00BA68FC" w:rsidRDefault="008B4434" w:rsidP="00E45F1C">
      <w:pPr>
        <w:jc w:val="both"/>
      </w:pPr>
      <w:r w:rsidRPr="004F1B06">
        <w:t xml:space="preserve">The responsibility for determining action to be taken and for </w:t>
      </w:r>
      <w:proofErr w:type="gramStart"/>
      <w:r w:rsidRPr="004F1B06">
        <w:t>taking action</w:t>
      </w:r>
      <w:proofErr w:type="gramEnd"/>
      <w:r w:rsidRPr="004F1B06">
        <w:t xml:space="preserve"> lies with the Designated Person.  Material issues will be escalated to the Board for determination.</w:t>
      </w:r>
    </w:p>
    <w:sectPr w:rsidR="008B4434" w:rsidRPr="00BA68FC" w:rsidSect="0053036B">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ED863" w14:textId="77777777" w:rsidR="0091280A" w:rsidRDefault="0091280A" w:rsidP="008B4434">
      <w:pPr>
        <w:spacing w:line="240" w:lineRule="auto"/>
      </w:pPr>
      <w:r>
        <w:separator/>
      </w:r>
    </w:p>
  </w:endnote>
  <w:endnote w:type="continuationSeparator" w:id="0">
    <w:p w14:paraId="4E8438AE" w14:textId="77777777" w:rsidR="0091280A" w:rsidRDefault="0091280A" w:rsidP="008B4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32D04" w14:textId="77777777" w:rsidR="0091280A" w:rsidRDefault="0091280A" w:rsidP="008B4434">
      <w:pPr>
        <w:spacing w:line="240" w:lineRule="auto"/>
      </w:pPr>
      <w:r>
        <w:separator/>
      </w:r>
    </w:p>
  </w:footnote>
  <w:footnote w:type="continuationSeparator" w:id="0">
    <w:p w14:paraId="7A4EBC0B" w14:textId="77777777" w:rsidR="0091280A" w:rsidRDefault="0091280A" w:rsidP="008B4434">
      <w:pPr>
        <w:spacing w:line="240" w:lineRule="auto"/>
      </w:pPr>
      <w:r>
        <w:continuationSeparator/>
      </w:r>
    </w:p>
  </w:footnote>
  <w:footnote w:id="1">
    <w:p w14:paraId="6678C18D" w14:textId="77777777" w:rsidR="007B2710" w:rsidRPr="007C6359" w:rsidRDefault="007B2710" w:rsidP="007B2710">
      <w:pPr>
        <w:pStyle w:val="ListParagraph"/>
        <w:ind w:left="0"/>
        <w:jc w:val="both"/>
        <w:rPr>
          <w:rFonts w:ascii="Times New Roman" w:hAnsi="Times New Roman"/>
          <w:sz w:val="24"/>
          <w:szCs w:val="24"/>
        </w:rPr>
      </w:pPr>
      <w:r w:rsidRPr="006B179D">
        <w:rPr>
          <w:rStyle w:val="FootnoteReference"/>
          <w:sz w:val="16"/>
          <w:szCs w:val="16"/>
        </w:rPr>
        <w:footnoteRef/>
      </w:r>
      <w:r w:rsidRPr="006B179D">
        <w:rPr>
          <w:sz w:val="16"/>
          <w:szCs w:val="16"/>
        </w:rPr>
        <w:t xml:space="preserve"> </w:t>
      </w:r>
      <w:r w:rsidR="006B179D">
        <w:rPr>
          <w:sz w:val="16"/>
          <w:szCs w:val="16"/>
        </w:rPr>
        <w:t>"</w:t>
      </w:r>
      <w:r w:rsidR="006B179D" w:rsidRPr="006B179D">
        <w:rPr>
          <w:b/>
          <w:bCs/>
          <w:sz w:val="16"/>
          <w:szCs w:val="16"/>
          <w:lang w:val="en-IE"/>
        </w:rPr>
        <w:t>Sustainability Risk</w:t>
      </w:r>
      <w:r w:rsidR="006B179D">
        <w:rPr>
          <w:sz w:val="16"/>
          <w:szCs w:val="16"/>
          <w:lang w:val="en-IE"/>
        </w:rPr>
        <w:t>" a</w:t>
      </w:r>
      <w:r w:rsidR="00151D5F" w:rsidRPr="00151D5F">
        <w:rPr>
          <w:sz w:val="16"/>
          <w:szCs w:val="16"/>
        </w:rPr>
        <w:t xml:space="preserve">n </w:t>
      </w:r>
      <w:r w:rsidRPr="00151D5F">
        <w:rPr>
          <w:sz w:val="16"/>
          <w:szCs w:val="16"/>
          <w:lang w:val="en-IE"/>
        </w:rPr>
        <w:t>environmental, social or governance event or condition that, if it occurs, could cause an actual or a potential material negative impact on the value of the investment</w:t>
      </w:r>
      <w:r w:rsidR="00151D5F">
        <w:rPr>
          <w:sz w:val="16"/>
          <w:szCs w:val="16"/>
          <w:lang w:val="en-IE"/>
        </w:rPr>
        <w:t>.</w:t>
      </w:r>
    </w:p>
    <w:p w14:paraId="41A61AFC" w14:textId="77777777" w:rsidR="007B2710" w:rsidRPr="004E6F23" w:rsidRDefault="007B2710" w:rsidP="007B2710">
      <w:pPr>
        <w:pStyle w:val="FootnoteText"/>
        <w:rPr>
          <w:b/>
        </w:rPr>
      </w:pPr>
    </w:p>
  </w:footnote>
  <w:footnote w:id="2">
    <w:p w14:paraId="1C660A71" w14:textId="77777777" w:rsidR="008B4434" w:rsidRPr="007C6359" w:rsidRDefault="008B4434" w:rsidP="008B4434">
      <w:pPr>
        <w:pStyle w:val="ListParagraph"/>
        <w:ind w:left="0"/>
        <w:jc w:val="both"/>
        <w:rPr>
          <w:rFonts w:ascii="Times New Roman" w:hAnsi="Times New Roman"/>
          <w:sz w:val="24"/>
          <w:szCs w:val="24"/>
        </w:rPr>
      </w:pPr>
      <w:r w:rsidRPr="009F19E4">
        <w:rPr>
          <w:rStyle w:val="FootnoteReference"/>
          <w:sz w:val="16"/>
          <w:szCs w:val="16"/>
        </w:rPr>
        <w:footnoteRef/>
      </w:r>
      <w:r>
        <w:t xml:space="preserve"> </w:t>
      </w:r>
      <w:r w:rsidRPr="009F19E4">
        <w:rPr>
          <w:sz w:val="16"/>
          <w:szCs w:val="16"/>
        </w:rPr>
        <w:t xml:space="preserve">Carried interest is defined as a share in the </w:t>
      </w:r>
      <w:r w:rsidR="0053036B">
        <w:rPr>
          <w:sz w:val="16"/>
          <w:szCs w:val="16"/>
        </w:rPr>
        <w:t>Fund’</w:t>
      </w:r>
      <w:r w:rsidRPr="009F19E4">
        <w:rPr>
          <w:sz w:val="16"/>
          <w:szCs w:val="16"/>
        </w:rPr>
        <w:t xml:space="preserve">s profits accrued to the </w:t>
      </w:r>
      <w:r w:rsidR="0053036B">
        <w:rPr>
          <w:sz w:val="16"/>
          <w:szCs w:val="16"/>
        </w:rPr>
        <w:t xml:space="preserve">Manager </w:t>
      </w:r>
      <w:r w:rsidRPr="009F19E4">
        <w:rPr>
          <w:sz w:val="16"/>
          <w:szCs w:val="16"/>
        </w:rPr>
        <w:t xml:space="preserve">as compensation for the management of the </w:t>
      </w:r>
      <w:r w:rsidR="0053036B">
        <w:rPr>
          <w:sz w:val="16"/>
          <w:szCs w:val="16"/>
        </w:rPr>
        <w:t>Fund</w:t>
      </w:r>
      <w:r w:rsidRPr="009F19E4">
        <w:rPr>
          <w:sz w:val="16"/>
          <w:szCs w:val="16"/>
        </w:rPr>
        <w:t>.</w:t>
      </w:r>
    </w:p>
    <w:p w14:paraId="11AB632D" w14:textId="77777777" w:rsidR="008B4434" w:rsidRPr="004E6F23" w:rsidRDefault="008B4434" w:rsidP="008B4434">
      <w:pPr>
        <w:pStyle w:val="FootnoteText"/>
        <w:rPr>
          <w: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95DCF"/>
    <w:multiLevelType w:val="hybridMultilevel"/>
    <w:tmpl w:val="CD3863F0"/>
    <w:lvl w:ilvl="0" w:tplc="A8F8B65C">
      <w:start w:val="1"/>
      <w:numFmt w:val="lowerRoman"/>
      <w:lvlText w:val="(%1)"/>
      <w:lvlJc w:val="left"/>
      <w:pPr>
        <w:ind w:left="720" w:hanging="72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EDC6931"/>
    <w:multiLevelType w:val="hybridMultilevel"/>
    <w:tmpl w:val="7ACA3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D1D7D"/>
    <w:multiLevelType w:val="hybridMultilevel"/>
    <w:tmpl w:val="D8C6C37C"/>
    <w:lvl w:ilvl="0" w:tplc="88C6803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4F4EA1"/>
    <w:multiLevelType w:val="hybridMultilevel"/>
    <w:tmpl w:val="EE34CD22"/>
    <w:lvl w:ilvl="0" w:tplc="38CC3E0E">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6069D2"/>
    <w:multiLevelType w:val="hybridMultilevel"/>
    <w:tmpl w:val="90689338"/>
    <w:lvl w:ilvl="0" w:tplc="52C60426">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FE4CFC"/>
    <w:multiLevelType w:val="hybridMultilevel"/>
    <w:tmpl w:val="4C72416E"/>
    <w:lvl w:ilvl="0" w:tplc="6374CC8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434"/>
    <w:rsid w:val="00046D65"/>
    <w:rsid w:val="0006717E"/>
    <w:rsid w:val="00151D5F"/>
    <w:rsid w:val="00270C5A"/>
    <w:rsid w:val="00360F75"/>
    <w:rsid w:val="003669A7"/>
    <w:rsid w:val="003B7853"/>
    <w:rsid w:val="003D6FBD"/>
    <w:rsid w:val="004804A6"/>
    <w:rsid w:val="0053036B"/>
    <w:rsid w:val="00560197"/>
    <w:rsid w:val="006B179D"/>
    <w:rsid w:val="007B2710"/>
    <w:rsid w:val="00851715"/>
    <w:rsid w:val="008B4434"/>
    <w:rsid w:val="008B4643"/>
    <w:rsid w:val="0091280A"/>
    <w:rsid w:val="00946F30"/>
    <w:rsid w:val="00992471"/>
    <w:rsid w:val="009C2A78"/>
    <w:rsid w:val="00BA4A51"/>
    <w:rsid w:val="00CE2B72"/>
    <w:rsid w:val="00D22793"/>
    <w:rsid w:val="00D70D9A"/>
    <w:rsid w:val="00DF48F9"/>
    <w:rsid w:val="00E15C67"/>
    <w:rsid w:val="00E30879"/>
    <w:rsid w:val="00E45F1C"/>
    <w:rsid w:val="00E86157"/>
    <w:rsid w:val="00ED65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2D52"/>
  <w15:docId w15:val="{07994A0D-5915-4AAB-B5BF-531082F0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34"/>
    <w:pPr>
      <w:spacing w:after="0" w:line="312" w:lineRule="auto"/>
    </w:pPr>
    <w:rPr>
      <w:rFonts w:ascii="Arial" w:eastAsia="Calibri" w:hAnsi="Arial" w:cs="Arial"/>
      <w:sz w:val="20"/>
      <w:szCs w:val="20"/>
    </w:rPr>
  </w:style>
  <w:style w:type="paragraph" w:styleId="Heading2">
    <w:name w:val="heading 2"/>
    <w:basedOn w:val="Normal"/>
    <w:next w:val="Normal"/>
    <w:link w:val="Heading2Char"/>
    <w:qFormat/>
    <w:rsid w:val="008B4434"/>
    <w:pPr>
      <w:keepNext/>
      <w:jc w:val="center"/>
      <w:outlineLvl w:val="1"/>
    </w:pPr>
    <w:rPr>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4434"/>
    <w:rPr>
      <w:rFonts w:ascii="Arial" w:eastAsia="Calibri" w:hAnsi="Arial" w:cs="Arial"/>
      <w:b/>
      <w:sz w:val="44"/>
      <w:szCs w:val="44"/>
    </w:rPr>
  </w:style>
  <w:style w:type="character" w:styleId="FootnoteReference">
    <w:name w:val="footnote reference"/>
    <w:aliases w:val="*"/>
    <w:uiPriority w:val="99"/>
    <w:rsid w:val="008B4434"/>
    <w:rPr>
      <w:rFonts w:cs="Times New Roman"/>
      <w:spacing w:val="0"/>
      <w:sz w:val="20"/>
      <w:szCs w:val="20"/>
    </w:rPr>
  </w:style>
  <w:style w:type="paragraph" w:styleId="FootnoteText">
    <w:name w:val="footnote text"/>
    <w:aliases w:val="Car"/>
    <w:basedOn w:val="Normal"/>
    <w:link w:val="FootnoteTextChar"/>
    <w:uiPriority w:val="99"/>
    <w:rsid w:val="008B4434"/>
  </w:style>
  <w:style w:type="character" w:customStyle="1" w:styleId="FootnoteTextChar">
    <w:name w:val="Footnote Text Char"/>
    <w:aliases w:val="Car Char"/>
    <w:basedOn w:val="DefaultParagraphFont"/>
    <w:link w:val="FootnoteText"/>
    <w:uiPriority w:val="99"/>
    <w:rsid w:val="008B4434"/>
    <w:rPr>
      <w:rFonts w:ascii="Arial" w:eastAsia="Calibri" w:hAnsi="Arial" w:cs="Arial"/>
      <w:sz w:val="20"/>
      <w:szCs w:val="20"/>
    </w:rPr>
  </w:style>
  <w:style w:type="paragraph" w:styleId="BodyText2">
    <w:name w:val="Body Text 2"/>
    <w:basedOn w:val="Normal"/>
    <w:link w:val="BodyText2Char"/>
    <w:rsid w:val="008B4434"/>
    <w:pPr>
      <w:spacing w:after="120" w:line="480" w:lineRule="auto"/>
    </w:pPr>
  </w:style>
  <w:style w:type="character" w:customStyle="1" w:styleId="BodyText2Char">
    <w:name w:val="Body Text 2 Char"/>
    <w:basedOn w:val="DefaultParagraphFont"/>
    <w:link w:val="BodyText2"/>
    <w:rsid w:val="008B4434"/>
    <w:rPr>
      <w:rFonts w:ascii="Arial" w:eastAsia="Calibri" w:hAnsi="Arial" w:cs="Arial"/>
      <w:sz w:val="20"/>
      <w:szCs w:val="20"/>
    </w:rPr>
  </w:style>
  <w:style w:type="paragraph" w:styleId="ListParagraph">
    <w:name w:val="List Paragraph"/>
    <w:basedOn w:val="Normal"/>
    <w:uiPriority w:val="34"/>
    <w:qFormat/>
    <w:rsid w:val="008B4434"/>
    <w:pPr>
      <w:spacing w:after="200" w:line="276" w:lineRule="auto"/>
      <w:ind w:left="720"/>
    </w:pPr>
    <w:rPr>
      <w:rFonts w:ascii="Calibri" w:eastAsia="Times New Roman" w:hAnsi="Calibri"/>
      <w:sz w:val="22"/>
      <w:szCs w:val="22"/>
      <w:lang w:val="en-US"/>
    </w:rPr>
  </w:style>
  <w:style w:type="paragraph" w:styleId="Header">
    <w:name w:val="header"/>
    <w:basedOn w:val="Normal"/>
    <w:link w:val="HeaderChar"/>
    <w:uiPriority w:val="99"/>
    <w:unhideWhenUsed/>
    <w:rsid w:val="0053036B"/>
    <w:pPr>
      <w:tabs>
        <w:tab w:val="center" w:pos="4513"/>
        <w:tab w:val="right" w:pos="9026"/>
      </w:tabs>
      <w:spacing w:line="240" w:lineRule="auto"/>
    </w:pPr>
  </w:style>
  <w:style w:type="character" w:customStyle="1" w:styleId="HeaderChar">
    <w:name w:val="Header Char"/>
    <w:basedOn w:val="DefaultParagraphFont"/>
    <w:link w:val="Header"/>
    <w:uiPriority w:val="99"/>
    <w:rsid w:val="0053036B"/>
    <w:rPr>
      <w:rFonts w:ascii="Arial" w:eastAsia="Calibri" w:hAnsi="Arial" w:cs="Arial"/>
      <w:sz w:val="20"/>
      <w:szCs w:val="20"/>
    </w:rPr>
  </w:style>
  <w:style w:type="paragraph" w:styleId="Footer">
    <w:name w:val="footer"/>
    <w:basedOn w:val="Normal"/>
    <w:link w:val="FooterChar"/>
    <w:uiPriority w:val="99"/>
    <w:unhideWhenUsed/>
    <w:rsid w:val="0053036B"/>
    <w:pPr>
      <w:tabs>
        <w:tab w:val="center" w:pos="4513"/>
        <w:tab w:val="right" w:pos="9026"/>
      </w:tabs>
      <w:spacing w:line="240" w:lineRule="auto"/>
    </w:pPr>
  </w:style>
  <w:style w:type="character" w:customStyle="1" w:styleId="FooterChar">
    <w:name w:val="Footer Char"/>
    <w:basedOn w:val="DefaultParagraphFont"/>
    <w:link w:val="Footer"/>
    <w:uiPriority w:val="99"/>
    <w:rsid w:val="0053036B"/>
    <w:rPr>
      <w:rFonts w:ascii="Arial" w:eastAsia="Calibri" w:hAnsi="Arial" w:cs="Arial"/>
      <w:sz w:val="20"/>
      <w:szCs w:val="20"/>
    </w:rPr>
  </w:style>
  <w:style w:type="paragraph" w:styleId="BalloonText">
    <w:name w:val="Balloon Text"/>
    <w:basedOn w:val="Normal"/>
    <w:link w:val="BalloonTextChar"/>
    <w:uiPriority w:val="99"/>
    <w:semiHidden/>
    <w:unhideWhenUsed/>
    <w:rsid w:val="005303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3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ntralbank.ie/regulation/industry-sectors/funds/ucits/Documents/CENTRAL%20BANK%20(SUPERVISION%20AND%20ENFORCEMENT)%20ACT%202013%20section%2048(1)(UCITS)(Amendment)%20Regulations%202016.pdf" TargetMode="External"/><Relationship Id="rId4" Type="http://schemas.openxmlformats.org/officeDocument/2006/relationships/settings" Target="settings.xml"/><Relationship Id="rId9" Type="http://schemas.openxmlformats.org/officeDocument/2006/relationships/hyperlink" Target="http://www.centralbank.ie/regulation/industry-sectors/funds/ucits/Documents/CENTRAL%20BANK%20(SUPERVISION%20AND%20ENFORCEMENT)%20ACT%202013%20section%2048(1)(UCITS)(Amendment)%20Regulations%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8FC9-BC67-430A-8A7B-F88A2946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Jacobi</dc:creator>
  <cp:lastModifiedBy>Emma Lally</cp:lastModifiedBy>
  <cp:revision>2</cp:revision>
  <cp:lastPrinted>2016-07-05T08:28:00Z</cp:lastPrinted>
  <dcterms:created xsi:type="dcterms:W3CDTF">2021-03-11T08:25:00Z</dcterms:created>
  <dcterms:modified xsi:type="dcterms:W3CDTF">2021-03-11T08:25:00Z</dcterms:modified>
</cp:coreProperties>
</file>