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FB69" w14:textId="77777777" w:rsidR="0092149C" w:rsidRDefault="0092149C">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0683C727" w14:textId="77777777">
        <w:trPr>
          <w:trHeight w:hRule="exact" w:val="226"/>
        </w:trPr>
        <w:tc>
          <w:tcPr>
            <w:tcW w:w="10544" w:type="dxa"/>
            <w:shd w:val="clear" w:color="auto" w:fill="auto"/>
            <w:noWrap/>
            <w:tcMar>
              <w:left w:w="56" w:type="dxa"/>
              <w:right w:w="56" w:type="dxa"/>
            </w:tcMar>
            <w:vAlign w:val="center"/>
          </w:tcPr>
          <w:p w14:paraId="2094C62F" w14:textId="77777777" w:rsidR="0092149C" w:rsidRDefault="0092149C">
            <w:pPr>
              <w:keepNext/>
              <w:autoSpaceDE w:val="0"/>
              <w:autoSpaceDN w:val="0"/>
              <w:jc w:val="both"/>
              <w:rPr>
                <w:rFonts w:ascii="Arial" w:eastAsia="Arial" w:hAnsi="Arial" w:cs="Arial"/>
                <w:color w:val="000000"/>
                <w:sz w:val="16"/>
              </w:rPr>
            </w:pPr>
          </w:p>
        </w:tc>
      </w:tr>
      <w:tr w:rsidR="0092149C" w14:paraId="1372F7C5" w14:textId="77777777">
        <w:trPr>
          <w:trHeight w:hRule="exact" w:val="453"/>
        </w:trPr>
        <w:tc>
          <w:tcPr>
            <w:tcW w:w="10544" w:type="dxa"/>
            <w:shd w:val="clear" w:color="auto" w:fill="auto"/>
            <w:noWrap/>
            <w:tcMar>
              <w:left w:w="56" w:type="dxa"/>
              <w:right w:w="56" w:type="dxa"/>
            </w:tcMar>
            <w:vAlign w:val="center"/>
          </w:tcPr>
          <w:p w14:paraId="087BE0FD" w14:textId="77777777" w:rsidR="0092149C" w:rsidRDefault="0092149C">
            <w:pPr>
              <w:keepNext/>
              <w:autoSpaceDE w:val="0"/>
              <w:autoSpaceDN w:val="0"/>
              <w:rPr>
                <w:rFonts w:ascii="Arial" w:eastAsia="Arial" w:hAnsi="Arial" w:cs="Arial"/>
                <w:color w:val="000000"/>
                <w:sz w:val="16"/>
              </w:rPr>
            </w:pPr>
          </w:p>
        </w:tc>
      </w:tr>
      <w:tr w:rsidR="0092149C" w14:paraId="2D6B90CE" w14:textId="77777777">
        <w:trPr>
          <w:trHeight w:hRule="exact" w:val="481"/>
        </w:trPr>
        <w:tc>
          <w:tcPr>
            <w:tcW w:w="10544" w:type="dxa"/>
            <w:shd w:val="clear" w:color="auto" w:fill="auto"/>
            <w:noWrap/>
            <w:tcMar>
              <w:left w:w="56" w:type="dxa"/>
              <w:right w:w="56" w:type="dxa"/>
            </w:tcMar>
            <w:vAlign w:val="center"/>
          </w:tcPr>
          <w:p w14:paraId="3C97FA56" w14:textId="77777777" w:rsidR="0092149C" w:rsidRDefault="00D9268A">
            <w:pPr>
              <w:keepNext/>
              <w:autoSpaceDE w:val="0"/>
              <w:autoSpaceDN w:val="0"/>
              <w:jc w:val="center"/>
            </w:pPr>
            <w:r>
              <w:rPr>
                <w:rFonts w:ascii="Arial" w:eastAsia="Arial" w:hAnsi="Arial" w:cs="Arial"/>
                <w:b/>
                <w:color w:val="000000"/>
                <w:sz w:val="28"/>
              </w:rPr>
              <w:t>Key Investor Information</w:t>
            </w:r>
          </w:p>
        </w:tc>
      </w:tr>
      <w:tr w:rsidR="0092149C" w14:paraId="79E8E8D8" w14:textId="77777777">
        <w:trPr>
          <w:trHeight w:hRule="exact" w:val="737"/>
        </w:trPr>
        <w:tc>
          <w:tcPr>
            <w:tcW w:w="10544" w:type="dxa"/>
            <w:shd w:val="clear" w:color="auto" w:fill="auto"/>
            <w:noWrap/>
            <w:tcMar>
              <w:left w:w="56" w:type="dxa"/>
              <w:right w:w="56" w:type="dxa"/>
            </w:tcMar>
          </w:tcPr>
          <w:p w14:paraId="129F0754" w14:textId="77777777" w:rsidR="0092149C" w:rsidRDefault="00D9268A">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7739A3AC"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7D7BBA3D" w14:textId="77777777">
        <w:trPr>
          <w:trHeight w:hRule="exact" w:val="340"/>
        </w:trPr>
        <w:tc>
          <w:tcPr>
            <w:tcW w:w="10544" w:type="dxa"/>
            <w:shd w:val="solid" w:color="C0C0C0" w:fill="auto"/>
            <w:tcMar>
              <w:left w:w="56" w:type="dxa"/>
              <w:right w:w="56" w:type="dxa"/>
            </w:tcMar>
            <w:vAlign w:val="center"/>
          </w:tcPr>
          <w:p w14:paraId="7948EB67" w14:textId="77777777" w:rsidR="0092149C" w:rsidRDefault="00D9268A">
            <w:pPr>
              <w:keepNext/>
              <w:autoSpaceDE w:val="0"/>
              <w:autoSpaceDN w:val="0"/>
            </w:pPr>
            <w:r>
              <w:rPr>
                <w:rFonts w:ascii="Arial" w:eastAsia="Arial" w:hAnsi="Arial" w:cs="Arial"/>
                <w:b/>
                <w:color w:val="000000"/>
                <w:sz w:val="24"/>
              </w:rPr>
              <w:t>Seed Global Fund</w:t>
            </w:r>
          </w:p>
        </w:tc>
      </w:tr>
      <w:tr w:rsidR="0092149C" w14:paraId="5C688866" w14:textId="77777777">
        <w:trPr>
          <w:trHeight w:hRule="exact" w:val="170"/>
        </w:trPr>
        <w:tc>
          <w:tcPr>
            <w:tcW w:w="10544" w:type="dxa"/>
            <w:shd w:val="solid" w:color="C0C0C0" w:fill="auto"/>
            <w:tcMar>
              <w:left w:w="56" w:type="dxa"/>
              <w:right w:w="56" w:type="dxa"/>
            </w:tcMar>
          </w:tcPr>
          <w:p w14:paraId="0EA49EB0" w14:textId="77777777" w:rsidR="0092149C" w:rsidRDefault="00D9268A">
            <w:pPr>
              <w:keepNext/>
              <w:autoSpaceDE w:val="0"/>
              <w:autoSpaceDN w:val="0"/>
              <w:spacing w:before="3"/>
            </w:pPr>
            <w:r>
              <w:rPr>
                <w:rFonts w:ascii="Arial" w:eastAsia="Arial" w:hAnsi="Arial" w:cs="Arial"/>
                <w:b/>
                <w:color w:val="000000"/>
                <w:sz w:val="16"/>
              </w:rPr>
              <w:t>a sub-Fund of PRESCIENT GLOBAL FUNDS ICAV ("THE ICAV")</w:t>
            </w:r>
          </w:p>
        </w:tc>
      </w:tr>
      <w:tr w:rsidR="0092149C" w14:paraId="5497DD3B" w14:textId="77777777">
        <w:trPr>
          <w:trHeight w:hRule="exact" w:val="28"/>
        </w:trPr>
        <w:tc>
          <w:tcPr>
            <w:tcW w:w="10544" w:type="dxa"/>
            <w:shd w:val="solid" w:color="C0C0C0" w:fill="auto"/>
            <w:tcMar>
              <w:left w:w="56" w:type="dxa"/>
              <w:right w:w="56" w:type="dxa"/>
            </w:tcMar>
            <w:vAlign w:val="center"/>
          </w:tcPr>
          <w:p w14:paraId="31458F51" w14:textId="77777777" w:rsidR="0092149C" w:rsidRDefault="0092149C">
            <w:pPr>
              <w:keepNext/>
              <w:autoSpaceDE w:val="0"/>
              <w:autoSpaceDN w:val="0"/>
              <w:rPr>
                <w:rFonts w:ascii="Arial" w:eastAsia="Arial" w:hAnsi="Arial" w:cs="Arial"/>
                <w:b/>
                <w:color w:val="000000"/>
                <w:sz w:val="16"/>
              </w:rPr>
            </w:pPr>
          </w:p>
        </w:tc>
      </w:tr>
      <w:tr w:rsidR="0092149C" w14:paraId="1A61560A" w14:textId="77777777">
        <w:trPr>
          <w:trHeight w:hRule="exact" w:val="226"/>
        </w:trPr>
        <w:tc>
          <w:tcPr>
            <w:tcW w:w="10544" w:type="dxa"/>
            <w:shd w:val="solid" w:color="D9D9D9" w:fill="auto"/>
            <w:tcMar>
              <w:left w:w="56" w:type="dxa"/>
              <w:right w:w="56" w:type="dxa"/>
            </w:tcMar>
            <w:vAlign w:val="center"/>
          </w:tcPr>
          <w:p w14:paraId="610F1339" w14:textId="77777777" w:rsidR="0092149C" w:rsidRDefault="00D9268A">
            <w:pPr>
              <w:keepNext/>
              <w:autoSpaceDE w:val="0"/>
              <w:autoSpaceDN w:val="0"/>
            </w:pPr>
            <w:r>
              <w:rPr>
                <w:rFonts w:ascii="Arial" w:eastAsia="Arial" w:hAnsi="Arial" w:cs="Arial"/>
                <w:b/>
                <w:color w:val="000000"/>
                <w:sz w:val="16"/>
              </w:rPr>
              <w:t>ISIN: IE00BYQ44V28 , Share Class: A USD</w:t>
            </w:r>
          </w:p>
        </w:tc>
      </w:tr>
      <w:tr w:rsidR="0092149C" w14:paraId="48F5227D" w14:textId="77777777">
        <w:trPr>
          <w:trHeight w:hRule="exact" w:val="226"/>
        </w:trPr>
        <w:tc>
          <w:tcPr>
            <w:tcW w:w="10544" w:type="dxa"/>
            <w:shd w:val="solid" w:color="D9D9D9" w:fill="auto"/>
            <w:tcMar>
              <w:left w:w="56" w:type="dxa"/>
              <w:right w:w="56" w:type="dxa"/>
            </w:tcMar>
            <w:vAlign w:val="bottom"/>
          </w:tcPr>
          <w:p w14:paraId="232E796D" w14:textId="77777777" w:rsidR="0092149C" w:rsidRDefault="00D9268A">
            <w:pPr>
              <w:keepNext/>
              <w:autoSpaceDE w:val="0"/>
              <w:autoSpaceDN w:val="0"/>
            </w:pPr>
            <w:r>
              <w:rPr>
                <w:rFonts w:ascii="Arial" w:eastAsia="Arial" w:hAnsi="Arial" w:cs="Arial"/>
                <w:b/>
                <w:color w:val="000000"/>
                <w:sz w:val="16"/>
              </w:rPr>
              <w:t>This Fund is managed by Prescient Fund Services (Ireland) Limited (The "Manager")</w:t>
            </w:r>
          </w:p>
        </w:tc>
      </w:tr>
      <w:tr w:rsidR="0092149C" w14:paraId="469E17A7" w14:textId="77777777">
        <w:trPr>
          <w:trHeight w:hRule="exact" w:val="311"/>
        </w:trPr>
        <w:tc>
          <w:tcPr>
            <w:tcW w:w="10544" w:type="dxa"/>
            <w:shd w:val="clear" w:color="auto" w:fill="auto"/>
            <w:tcMar>
              <w:left w:w="56" w:type="dxa"/>
              <w:right w:w="56" w:type="dxa"/>
            </w:tcMar>
            <w:vAlign w:val="center"/>
          </w:tcPr>
          <w:p w14:paraId="7F38F1B8" w14:textId="77777777" w:rsidR="0092149C" w:rsidRDefault="0092149C">
            <w:pPr>
              <w:autoSpaceDE w:val="0"/>
              <w:autoSpaceDN w:val="0"/>
              <w:rPr>
                <w:rFonts w:ascii="Arial" w:eastAsia="Arial" w:hAnsi="Arial" w:cs="Arial"/>
                <w:b/>
                <w:color w:val="000000"/>
                <w:sz w:val="16"/>
              </w:rPr>
            </w:pPr>
          </w:p>
        </w:tc>
      </w:tr>
    </w:tbl>
    <w:p w14:paraId="39FE4C97"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37148F04"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BCD1E69" w14:textId="77777777" w:rsidR="0092149C" w:rsidRDefault="00D9268A">
            <w:pPr>
              <w:autoSpaceDE w:val="0"/>
              <w:autoSpaceDN w:val="0"/>
            </w:pPr>
            <w:r>
              <w:rPr>
                <w:rFonts w:ascii="Arial" w:eastAsia="Arial" w:hAnsi="Arial" w:cs="Arial"/>
                <w:b/>
                <w:color w:val="000000"/>
                <w:sz w:val="18"/>
              </w:rPr>
              <w:t>Objectives and Investment Policy</w:t>
            </w:r>
          </w:p>
        </w:tc>
      </w:tr>
    </w:tbl>
    <w:p w14:paraId="2ABF6372" w14:textId="77777777" w:rsidR="0092149C" w:rsidRDefault="0092149C">
      <w:pPr>
        <w:autoSpaceDE w:val="0"/>
        <w:autoSpaceDN w:val="0"/>
        <w:rPr>
          <w:sz w:val="2"/>
          <w:szCs w:val="2"/>
        </w:rPr>
        <w:sectPr w:rsidR="0092149C">
          <w:headerReference w:type="default" r:id="rId7"/>
          <w:footerReference w:type="default" r:id="rId8"/>
          <w:footnotePr>
            <w:numRestart w:val="eachSect"/>
          </w:footnotePr>
          <w:pgSz w:w="11905" w:h="16837"/>
          <w:pgMar w:top="0" w:right="793" w:bottom="0" w:left="566" w:header="0" w:footer="0" w:gutter="0"/>
          <w:cols w:space="0"/>
        </w:sectPr>
      </w:pPr>
    </w:p>
    <w:p w14:paraId="0B56E1D6"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achieve returns in excess of its Benchmark, the ICE Libor 1 Month USD +3% per annum.</w:t>
      </w:r>
    </w:p>
    <w:p w14:paraId="1F2284EB"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A51EB5D"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mainly through investing in a range of equities (e.g. shares), equity related investments such as preferred stocks, collective investment schemes, real estate investment trusts, property funds, private equity funds, exchange traded funds, which may be located or hold assets located in developed and emerging countries worldwide. The Fund may invest up to 30% of its net assets in equities and equity related securities (such as warrants, rights issues and preferred stocks) in emerging markets, which in investment terms are those economies that are still developing. it may also from time to time hold ancillary liquid financial assets including debt securities (e.g. government, municipal, corporate and securitized debt and money market instruments) (as described above) in appropriate circumstances.  Such circumstances may include where market conditions may require a defensive investment strategy, the holding of debt securities and/or money market instruments pending reinvestment, the holding of debt securities and/or money market instruments in order to meet redemptions and payment of expenses</w:t>
      </w:r>
    </w:p>
    <w:p w14:paraId="03BF06E9"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278CDFE"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Investments will be made for the Fund based on Strategic Asset Allocation and tactical allocation. The Investment Manager can make investments for the Fund at its own discretion. The Fund may also invest in global currencies. The currencies chosen by the Fund will mainly be with stable economies to reduce risk. The Fund has a global investment strategy, with no particular target in relation to any </w:t>
      </w:r>
      <w:r>
        <w:rPr>
          <w:rFonts w:ascii="Arial" w:eastAsia="Arial" w:hAnsi="Arial" w:cs="Arial"/>
          <w:color w:val="000000"/>
          <w:sz w:val="16"/>
          <w:szCs w:val="16"/>
        </w:rPr>
        <w:t>industrial, geographic or other market sectors. The Fund may invest in bonds and other debt securities when market conditions require a more defensive strategy. 90% of such investments will have a credit rating of "investment grade" at the time of investment.</w:t>
      </w:r>
    </w:p>
    <w:p w14:paraId="7F836FB2"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0610B7A"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the ICE Libor 1 Month USD +3% per annum. The ICE (Intercontinental Exchange Inc.) Libor (London Interbank Offered Rate) provides an indication of the average rate at which a bank can obtain unsecured funding in the London Interbank market for a given period, in a given currency.</w:t>
      </w:r>
    </w:p>
    <w:p w14:paraId="5602456C"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02E350D"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This Fund is actively managed in reference to the Ice Libor 1 Month USD Index actively by virtue of the fact that the investment objective of the Fund is to outperform the Benchmark.</w:t>
      </w:r>
    </w:p>
    <w:p w14:paraId="77B5EE04"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978F56F"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506C5F0B"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886F9EB"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each Business Day in both Dublin, Ireland and Cape Town, South Africa.</w:t>
      </w:r>
    </w:p>
    <w:p w14:paraId="1D2E8CCE"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DDC8BE9" w14:textId="77777777" w:rsidR="0092149C" w:rsidRDefault="00D9268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Company's current Prospectus shall have the same meaning herein. Please refer to the "Investment Objectives and Policies" section of the Prospectus and the "Investment Objective and Policy" section of the Supplement for further information.</w:t>
      </w:r>
    </w:p>
    <w:p w14:paraId="30F031A7" w14:textId="77777777" w:rsidR="0092149C" w:rsidRDefault="0092149C">
      <w:pPr>
        <w:autoSpaceDE w:val="0"/>
        <w:autoSpaceDN w:val="0"/>
        <w:jc w:val="both"/>
        <w:rPr>
          <w:rFonts w:ascii="Arial" w:eastAsia="Arial" w:hAnsi="Arial" w:cs="Arial"/>
          <w:color w:val="000000"/>
          <w:sz w:val="16"/>
          <w:szCs w:val="16"/>
        </w:rPr>
        <w:sectPr w:rsidR="0092149C">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92149C" w14:paraId="6459A341" w14:textId="77777777">
        <w:trPr>
          <w:trHeight w:hRule="exact" w:val="283"/>
        </w:trPr>
        <w:tc>
          <w:tcPr>
            <w:tcW w:w="10544" w:type="dxa"/>
            <w:shd w:val="clear" w:color="auto" w:fill="auto"/>
            <w:noWrap/>
            <w:tcMar>
              <w:left w:w="20" w:type="dxa"/>
              <w:right w:w="20" w:type="dxa"/>
            </w:tcMar>
          </w:tcPr>
          <w:p w14:paraId="09AD9C80" w14:textId="77777777" w:rsidR="0092149C" w:rsidRDefault="0092149C">
            <w:pPr>
              <w:autoSpaceDE w:val="0"/>
              <w:autoSpaceDN w:val="0"/>
              <w:rPr>
                <w:rFonts w:ascii="Arial" w:eastAsia="Arial" w:hAnsi="Arial" w:cs="Arial"/>
                <w:color w:val="000000"/>
                <w:sz w:val="18"/>
              </w:rPr>
            </w:pPr>
          </w:p>
        </w:tc>
      </w:tr>
    </w:tbl>
    <w:p w14:paraId="5DD8DCC3"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288F4B12"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39A111C" w14:textId="77777777" w:rsidR="0092149C" w:rsidRDefault="00D9268A">
            <w:pPr>
              <w:keepNext/>
              <w:autoSpaceDE w:val="0"/>
              <w:autoSpaceDN w:val="0"/>
            </w:pPr>
            <w:r>
              <w:rPr>
                <w:rFonts w:ascii="Arial" w:eastAsia="Arial" w:hAnsi="Arial" w:cs="Arial"/>
                <w:b/>
                <w:color w:val="000000"/>
                <w:sz w:val="18"/>
              </w:rPr>
              <w:t>Risk and Reward Profile of the Fund</w:t>
            </w:r>
          </w:p>
        </w:tc>
      </w:tr>
      <w:tr w:rsidR="0092149C" w14:paraId="53E636E1" w14:textId="77777777">
        <w:trPr>
          <w:trHeight w:hRule="exact" w:val="226"/>
        </w:trPr>
        <w:tc>
          <w:tcPr>
            <w:tcW w:w="10544" w:type="dxa"/>
            <w:shd w:val="clear" w:color="auto" w:fill="auto"/>
            <w:noWrap/>
            <w:tcMar>
              <w:left w:w="20" w:type="dxa"/>
              <w:right w:w="20" w:type="dxa"/>
            </w:tcMar>
          </w:tcPr>
          <w:p w14:paraId="1C3FBA99" w14:textId="77777777" w:rsidR="0092149C" w:rsidRDefault="0092149C">
            <w:pPr>
              <w:autoSpaceDE w:val="0"/>
              <w:autoSpaceDN w:val="0"/>
              <w:rPr>
                <w:rFonts w:ascii="Arial" w:eastAsia="Arial" w:hAnsi="Arial" w:cs="Arial"/>
                <w:color w:val="000000"/>
                <w:sz w:val="18"/>
              </w:rPr>
            </w:pPr>
          </w:p>
        </w:tc>
      </w:tr>
    </w:tbl>
    <w:p w14:paraId="41D43187" w14:textId="77777777" w:rsidR="0092149C" w:rsidRDefault="0092149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92149C" w14:paraId="003FC1F5"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92149C" w14:paraId="4320ED3C"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047CCF14" w14:textId="77777777" w:rsidR="0092149C" w:rsidRDefault="00D9268A">
                  <w:pPr>
                    <w:keepLines/>
                    <w:autoSpaceDE w:val="0"/>
                    <w:autoSpaceDN w:val="0"/>
                    <w:jc w:val="center"/>
                  </w:pPr>
                  <w:r>
                    <w:rPr>
                      <w:rFonts w:ascii="Arial" w:eastAsia="Arial" w:hAnsi="Arial" w:cs="Arial"/>
                      <w:noProof/>
                      <w:color w:val="000000"/>
                      <w:sz w:val="16"/>
                    </w:rPr>
                    <w:drawing>
                      <wp:inline distT="0" distB="0" distL="0" distR="0" wp14:anchorId="37B66611" wp14:editId="6B7669AC">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92149C" w14:paraId="4CEB54B3" w14:textId="77777777" w:rsidTr="00EA70C7">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6139EEC3" w14:textId="77777777" w:rsidR="0092149C" w:rsidRDefault="00D9268A">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06899220" w14:textId="77777777" w:rsidR="0092149C" w:rsidRDefault="00D9268A">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6B77C96" w14:textId="77777777" w:rsidR="0092149C" w:rsidRDefault="00D9268A">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283371B7" w14:textId="77777777" w:rsidR="0092149C" w:rsidRDefault="00D9268A">
                  <w:pPr>
                    <w:autoSpaceDE w:val="0"/>
                    <w:autoSpaceDN w:val="0"/>
                    <w:jc w:val="center"/>
                  </w:pPr>
                  <w:r w:rsidRPr="00EA70C7">
                    <w:rPr>
                      <w:rFonts w:ascii="Arial" w:eastAsia="Arial" w:hAnsi="Arial" w:cs="Arial"/>
                      <w:color w:val="BFBFBF" w:themeColor="background1" w:themeShade="BF"/>
                    </w:rPr>
                    <w:t>4</w:t>
                  </w:r>
                </w:p>
              </w:tc>
              <w:tc>
                <w:tcPr>
                  <w:tcW w:w="7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left w:w="56" w:type="dxa"/>
                    <w:right w:w="56" w:type="dxa"/>
                  </w:tcMar>
                  <w:vAlign w:val="center"/>
                </w:tcPr>
                <w:p w14:paraId="589E508C" w14:textId="77777777" w:rsidR="0092149C" w:rsidRDefault="00D9268A">
                  <w:pPr>
                    <w:autoSpaceDE w:val="0"/>
                    <w:autoSpaceDN w:val="0"/>
                    <w:jc w:val="center"/>
                  </w:pPr>
                  <w:r w:rsidRPr="00EA70C7">
                    <w:rPr>
                      <w:rFonts w:ascii="Arial" w:eastAsia="Arial" w:hAnsi="Arial" w:cs="Arial"/>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C84E73F" w14:textId="77777777" w:rsidR="0092149C" w:rsidRDefault="00D9268A">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1A8344E" w14:textId="77777777" w:rsidR="0092149C" w:rsidRDefault="00D9268A">
                  <w:pPr>
                    <w:autoSpaceDE w:val="0"/>
                    <w:autoSpaceDN w:val="0"/>
                    <w:jc w:val="center"/>
                  </w:pPr>
                  <w:r>
                    <w:rPr>
                      <w:rFonts w:ascii="Arial" w:eastAsia="Arial" w:hAnsi="Arial" w:cs="Arial"/>
                      <w:color w:val="C0C0C0"/>
                    </w:rPr>
                    <w:t>7</w:t>
                  </w:r>
                </w:p>
              </w:tc>
            </w:tr>
            <w:tr w:rsidR="0092149C" w14:paraId="2A13A462" w14:textId="77777777">
              <w:tc>
                <w:tcPr>
                  <w:tcW w:w="4984" w:type="dxa"/>
                  <w:gridSpan w:val="7"/>
                  <w:shd w:val="clear" w:color="auto" w:fill="auto"/>
                  <w:noWrap/>
                  <w:tcMar>
                    <w:left w:w="56" w:type="dxa"/>
                  </w:tcMar>
                  <w:vAlign w:val="center"/>
                </w:tcPr>
                <w:p w14:paraId="7B1D31FD" w14:textId="77777777" w:rsidR="0092149C" w:rsidRDefault="0092149C">
                  <w:pPr>
                    <w:autoSpaceDE w:val="0"/>
                    <w:autoSpaceDN w:val="0"/>
                    <w:jc w:val="both"/>
                    <w:rPr>
                      <w:rFonts w:ascii="Arial" w:eastAsia="Arial" w:hAnsi="Arial" w:cs="Arial"/>
                      <w:color w:val="C0C0C0"/>
                      <w:sz w:val="16"/>
                    </w:rPr>
                  </w:pPr>
                </w:p>
              </w:tc>
            </w:tr>
            <w:tr w:rsidR="0092149C" w14:paraId="6C6232D9" w14:textId="77777777">
              <w:tc>
                <w:tcPr>
                  <w:tcW w:w="4984" w:type="dxa"/>
                  <w:gridSpan w:val="7"/>
                  <w:shd w:val="clear" w:color="auto" w:fill="auto"/>
                  <w:noWrap/>
                  <w:tcMar>
                    <w:left w:w="56" w:type="dxa"/>
                  </w:tcMar>
                  <w:vAlign w:val="center"/>
                </w:tcPr>
                <w:p w14:paraId="4E96059D" w14:textId="77777777" w:rsidR="0092149C" w:rsidRDefault="00D9268A">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0E458E5E" w14:textId="77777777" w:rsidR="0092149C" w:rsidRDefault="0092149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92149C" w14:paraId="7192277B" w14:textId="77777777">
              <w:trPr>
                <w:trHeight w:hRule="exact" w:val="170"/>
              </w:trPr>
              <w:tc>
                <w:tcPr>
                  <w:tcW w:w="510" w:type="dxa"/>
                  <w:shd w:val="clear" w:color="auto" w:fill="auto"/>
                  <w:noWrap/>
                  <w:tcMar>
                    <w:left w:w="20" w:type="dxa"/>
                    <w:right w:w="20" w:type="dxa"/>
                  </w:tcMar>
                </w:tcPr>
                <w:p w14:paraId="1D737668" w14:textId="77777777" w:rsidR="0092149C" w:rsidRDefault="0092149C">
                  <w:pPr>
                    <w:autoSpaceDE w:val="0"/>
                    <w:autoSpaceDN w:val="0"/>
                    <w:rPr>
                      <w:rFonts w:ascii="Arial" w:eastAsia="Arial" w:hAnsi="Arial" w:cs="Arial"/>
                      <w:color w:val="000000"/>
                      <w:sz w:val="18"/>
                    </w:rPr>
                  </w:pPr>
                </w:p>
              </w:tc>
            </w:tr>
          </w:tbl>
          <w:p w14:paraId="0F018044" w14:textId="77777777" w:rsidR="0092149C" w:rsidRDefault="0092149C">
            <w:pPr>
              <w:keepNext/>
              <w:autoSpaceDE w:val="0"/>
              <w:autoSpaceDN w:val="0"/>
              <w:rPr>
                <w:vanish/>
                <w:sz w:val="2"/>
                <w:szCs w:val="2"/>
              </w:rPr>
            </w:pPr>
          </w:p>
        </w:tc>
        <w:tc>
          <w:tcPr>
            <w:tcW w:w="5017" w:type="dxa"/>
          </w:tcPr>
          <w:p w14:paraId="47A25771"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3A01605E"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tthe valuation of assets held in currencies other than USD.</w:t>
            </w:r>
          </w:p>
          <w:p w14:paraId="61DAD994"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investments in Emerging Markets may be  exposed to the following risks:</w:t>
            </w:r>
          </w:p>
          <w:p w14:paraId="23D9DE08"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Political Risk</w:t>
            </w:r>
            <w:r>
              <w:rPr>
                <w:rFonts w:ascii="Arial" w:eastAsia="Arial" w:hAnsi="Arial" w:cs="Arial"/>
                <w:color w:val="000000"/>
                <w:sz w:val="16"/>
                <w:szCs w:val="16"/>
              </w:rPr>
              <w:t xml:space="preserve"> - the investments may be affected by uncertainties such as political or diplomatic developments, social and religious instability, or changes in government polices, tax and interest rates.</w:t>
            </w:r>
          </w:p>
          <w:p w14:paraId="78279585"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Settlement Risk</w:t>
            </w:r>
            <w:r>
              <w:rPr>
                <w:rFonts w:ascii="Arial" w:eastAsia="Arial" w:hAnsi="Arial" w:cs="Arial"/>
                <w:color w:val="000000"/>
                <w:sz w:val="16"/>
                <w:szCs w:val="16"/>
              </w:rPr>
              <w:t xml:space="preserve"> - reliability of trading and settlement systems may not be the same as more developed markets, resulting in delays in receiving proceeds when selling shares.</w:t>
            </w:r>
          </w:p>
          <w:p w14:paraId="21A00D7F"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certain stockmarkets have low liquidity which means it may be more difficult to buy or sell shares than on a more developed market.</w:t>
            </w:r>
          </w:p>
          <w:p w14:paraId="1432967C"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 -</w:t>
            </w:r>
            <w:r>
              <w:rPr>
                <w:rFonts w:ascii="Arial" w:eastAsia="Arial" w:hAnsi="Arial" w:cs="Arial"/>
                <w:color w:val="000000"/>
                <w:sz w:val="16"/>
                <w:szCs w:val="16"/>
              </w:rPr>
              <w:t xml:space="preserve"> the fund may be exposed to higher risk if holding assets in currencies which fluctuate significantly over a short period of time.</w:t>
            </w:r>
          </w:p>
          <w:p w14:paraId="73C3C240"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Accounting Standards Risk</w:t>
            </w:r>
            <w:r>
              <w:rPr>
                <w:rFonts w:ascii="Arial" w:eastAsia="Arial" w:hAnsi="Arial" w:cs="Arial"/>
                <w:color w:val="000000"/>
                <w:sz w:val="16"/>
                <w:szCs w:val="16"/>
              </w:rPr>
              <w:t xml:space="preserve"> - Companies in emerging markets may not be subject to similar accounting standards to major markets, so there is a risk that their value could fluctuate significantly.</w:t>
            </w:r>
          </w:p>
          <w:p w14:paraId="37FFFBB9" w14:textId="77777777" w:rsidR="0092149C" w:rsidRDefault="00D9268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Custodial Risk</w:t>
            </w:r>
            <w:r>
              <w:rPr>
                <w:rFonts w:ascii="Arial" w:eastAsia="Arial" w:hAnsi="Arial" w:cs="Arial"/>
                <w:color w:val="000000"/>
                <w:sz w:val="16"/>
                <w:szCs w:val="16"/>
              </w:rPr>
              <w:t xml:space="preserve"> - custody services may be underdeveloped, meaning that a Fund may have difficulties in establishing ownership of some investments, so could suffer losses as a result.</w:t>
            </w:r>
          </w:p>
          <w:p w14:paraId="7268C664"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388FD088" w14:textId="77777777" w:rsidR="0092149C" w:rsidRDefault="0092149C">
            <w:pPr>
              <w:keepNext/>
              <w:autoSpaceDE w:val="0"/>
              <w:autoSpaceDN w:val="0"/>
              <w:rPr>
                <w:vanish/>
                <w:sz w:val="2"/>
                <w:szCs w:val="2"/>
              </w:rPr>
            </w:pPr>
          </w:p>
        </w:tc>
      </w:tr>
    </w:tbl>
    <w:p w14:paraId="29009199" w14:textId="77777777" w:rsidR="0092149C" w:rsidRDefault="0092149C">
      <w:pPr>
        <w:autoSpaceDE w:val="0"/>
        <w:autoSpaceDN w:val="0"/>
        <w:rPr>
          <w:sz w:val="2"/>
          <w:szCs w:val="2"/>
        </w:rPr>
        <w:sectPr w:rsidR="0092149C">
          <w:type w:val="continuous"/>
          <w:pgSz w:w="11905" w:h="16837"/>
          <w:pgMar w:top="0" w:right="793" w:bottom="0" w:left="566" w:header="0" w:footer="0" w:gutter="0"/>
          <w:cols w:space="0"/>
        </w:sectPr>
      </w:pPr>
    </w:p>
    <w:p w14:paraId="15DE59E7" w14:textId="77777777" w:rsidR="0092149C" w:rsidRDefault="0092149C">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3ACF2B8C"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E2BA114" w14:textId="77777777" w:rsidR="0092149C" w:rsidRDefault="00D9268A">
            <w:pPr>
              <w:keepNext/>
              <w:autoSpaceDE w:val="0"/>
              <w:autoSpaceDN w:val="0"/>
            </w:pPr>
            <w:r>
              <w:rPr>
                <w:rFonts w:ascii="Arial" w:eastAsia="Arial" w:hAnsi="Arial" w:cs="Arial"/>
                <w:b/>
                <w:color w:val="000000"/>
                <w:sz w:val="18"/>
              </w:rPr>
              <w:t>Charges for the Fund</w:t>
            </w:r>
          </w:p>
        </w:tc>
      </w:tr>
      <w:tr w:rsidR="0092149C" w14:paraId="2E1B252E" w14:textId="77777777">
        <w:trPr>
          <w:trHeight w:hRule="exact" w:val="226"/>
        </w:trPr>
        <w:tc>
          <w:tcPr>
            <w:tcW w:w="10544" w:type="dxa"/>
            <w:shd w:val="clear" w:color="auto" w:fill="auto"/>
            <w:noWrap/>
            <w:tcMar>
              <w:left w:w="20" w:type="dxa"/>
              <w:right w:w="20" w:type="dxa"/>
            </w:tcMar>
          </w:tcPr>
          <w:p w14:paraId="38C664F0" w14:textId="77777777" w:rsidR="0092149C" w:rsidRDefault="0092149C">
            <w:pPr>
              <w:autoSpaceDE w:val="0"/>
              <w:autoSpaceDN w:val="0"/>
              <w:rPr>
                <w:rFonts w:ascii="Arial" w:eastAsia="Arial" w:hAnsi="Arial" w:cs="Arial"/>
                <w:color w:val="000000"/>
                <w:sz w:val="18"/>
              </w:rPr>
            </w:pPr>
          </w:p>
        </w:tc>
      </w:tr>
    </w:tbl>
    <w:p w14:paraId="626E0EF4"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51000D24" w14:textId="77777777">
        <w:tc>
          <w:tcPr>
            <w:tcW w:w="10544" w:type="dxa"/>
            <w:shd w:val="clear" w:color="auto" w:fill="auto"/>
            <w:noWrap/>
            <w:tcMar>
              <w:left w:w="56" w:type="dxa"/>
              <w:right w:w="56" w:type="dxa"/>
            </w:tcMar>
            <w:vAlign w:val="center"/>
          </w:tcPr>
          <w:p w14:paraId="33409E27" w14:textId="77777777" w:rsidR="0092149C" w:rsidRDefault="00D9268A">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92149C" w14:paraId="7E3CE64B" w14:textId="77777777">
        <w:trPr>
          <w:trHeight w:hRule="exact" w:val="170"/>
        </w:trPr>
        <w:tc>
          <w:tcPr>
            <w:tcW w:w="10544" w:type="dxa"/>
            <w:shd w:val="clear" w:color="auto" w:fill="auto"/>
            <w:noWrap/>
            <w:tcMar>
              <w:left w:w="56" w:type="dxa"/>
              <w:right w:w="56" w:type="dxa"/>
            </w:tcMar>
            <w:vAlign w:val="center"/>
          </w:tcPr>
          <w:p w14:paraId="0A050927" w14:textId="77777777" w:rsidR="0092149C" w:rsidRDefault="0092149C">
            <w:pPr>
              <w:autoSpaceDE w:val="0"/>
              <w:autoSpaceDN w:val="0"/>
              <w:jc w:val="both"/>
              <w:rPr>
                <w:rFonts w:ascii="Arial" w:eastAsia="Arial" w:hAnsi="Arial" w:cs="Arial"/>
                <w:color w:val="000000"/>
                <w:sz w:val="16"/>
              </w:rPr>
            </w:pPr>
          </w:p>
        </w:tc>
      </w:tr>
    </w:tbl>
    <w:p w14:paraId="015BD63E" w14:textId="77777777" w:rsidR="0092149C" w:rsidRDefault="0092149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92149C" w14:paraId="4E736AAC"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92149C" w14:paraId="3D86A14B"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3B36B9E7" w14:textId="77777777" w:rsidR="0092149C" w:rsidRDefault="00D9268A">
                  <w:pPr>
                    <w:autoSpaceDE w:val="0"/>
                    <w:autoSpaceDN w:val="0"/>
                    <w:spacing w:after="80"/>
                    <w:jc w:val="both"/>
                  </w:pPr>
                  <w:r>
                    <w:rPr>
                      <w:rFonts w:ascii="Arial" w:eastAsia="Arial" w:hAnsi="Arial" w:cs="Arial"/>
                      <w:b/>
                      <w:color w:val="000000"/>
                      <w:sz w:val="16"/>
                    </w:rPr>
                    <w:t>One-off charges taken before or after you invest</w:t>
                  </w:r>
                </w:p>
              </w:tc>
            </w:tr>
            <w:tr w:rsidR="0092149C" w14:paraId="36877E85"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0E69F66" w14:textId="77777777" w:rsidR="0092149C" w:rsidRDefault="00D9268A">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5A7DEE22" w14:textId="77777777" w:rsidR="0092149C" w:rsidRDefault="00D9268A">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2C2585B7" w14:textId="77777777" w:rsidR="0092149C" w:rsidRDefault="0092149C">
                  <w:pPr>
                    <w:autoSpaceDE w:val="0"/>
                    <w:autoSpaceDN w:val="0"/>
                    <w:jc w:val="both"/>
                    <w:rPr>
                      <w:rFonts w:ascii="Arial" w:eastAsia="Arial" w:hAnsi="Arial" w:cs="Arial"/>
                      <w:color w:val="000000"/>
                      <w:sz w:val="16"/>
                    </w:rPr>
                  </w:pPr>
                </w:p>
              </w:tc>
            </w:tr>
            <w:tr w:rsidR="0092149C" w14:paraId="64325F81"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070D8146" w14:textId="77777777" w:rsidR="0092149C" w:rsidRDefault="00D9268A">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2C24FC73" w14:textId="77777777" w:rsidR="0092149C" w:rsidRDefault="00D9268A">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21F58D17" w14:textId="77777777" w:rsidR="0092149C" w:rsidRDefault="0092149C">
                  <w:pPr>
                    <w:autoSpaceDE w:val="0"/>
                    <w:autoSpaceDN w:val="0"/>
                    <w:jc w:val="both"/>
                    <w:rPr>
                      <w:rFonts w:ascii="Arial" w:eastAsia="Arial" w:hAnsi="Arial" w:cs="Arial"/>
                      <w:color w:val="000000"/>
                      <w:sz w:val="16"/>
                    </w:rPr>
                  </w:pPr>
                </w:p>
              </w:tc>
            </w:tr>
            <w:tr w:rsidR="0092149C" w14:paraId="2A68BFBB"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B86C1E2" w14:textId="77777777" w:rsidR="0092149C" w:rsidRDefault="0092149C">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7BC8FC20" w14:textId="77777777" w:rsidR="0092149C" w:rsidRDefault="0092149C">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687D4FBC" w14:textId="77777777" w:rsidR="0092149C" w:rsidRDefault="0092149C">
                  <w:pPr>
                    <w:autoSpaceDE w:val="0"/>
                    <w:autoSpaceDN w:val="0"/>
                    <w:jc w:val="both"/>
                    <w:rPr>
                      <w:rFonts w:ascii="Arial" w:eastAsia="Arial" w:hAnsi="Arial" w:cs="Arial"/>
                      <w:color w:val="000000"/>
                      <w:sz w:val="16"/>
                    </w:rPr>
                  </w:pPr>
                </w:p>
              </w:tc>
            </w:tr>
            <w:tr w:rsidR="0092149C" w14:paraId="2B0E26BC"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0F903A02" w14:textId="77777777" w:rsidR="0092149C" w:rsidRDefault="00D9268A">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92149C" w14:paraId="48CA9A41"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58F0C320" w14:textId="77777777" w:rsidR="0092149C" w:rsidRDefault="0092149C">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277A91BF" w14:textId="77777777" w:rsidR="0092149C" w:rsidRDefault="0092149C">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24360E2D" w14:textId="77777777" w:rsidR="0092149C" w:rsidRDefault="0092149C">
                  <w:pPr>
                    <w:autoSpaceDE w:val="0"/>
                    <w:autoSpaceDN w:val="0"/>
                    <w:jc w:val="both"/>
                    <w:rPr>
                      <w:rFonts w:ascii="Arial" w:eastAsia="Arial" w:hAnsi="Arial" w:cs="Arial"/>
                      <w:color w:val="000000"/>
                      <w:sz w:val="16"/>
                    </w:rPr>
                  </w:pPr>
                </w:p>
              </w:tc>
            </w:tr>
            <w:tr w:rsidR="0092149C" w14:paraId="7036B9A4"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F8C9B83" w14:textId="77777777" w:rsidR="0092149C" w:rsidRDefault="00D9268A">
                  <w:pPr>
                    <w:autoSpaceDE w:val="0"/>
                    <w:autoSpaceDN w:val="0"/>
                    <w:spacing w:before="80" w:after="80"/>
                    <w:jc w:val="both"/>
                  </w:pPr>
                  <w:r>
                    <w:rPr>
                      <w:rFonts w:ascii="Arial" w:eastAsia="Arial" w:hAnsi="Arial" w:cs="Arial"/>
                      <w:b/>
                      <w:color w:val="000000"/>
                      <w:sz w:val="16"/>
                    </w:rPr>
                    <w:t>Charges taken from the Fund over a year</w:t>
                  </w:r>
                </w:p>
              </w:tc>
            </w:tr>
            <w:tr w:rsidR="0092149C" w14:paraId="2D151580"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7E7CCC99" w14:textId="77777777" w:rsidR="0092149C" w:rsidRDefault="00D9268A">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14C20BE3" w14:textId="1746779D" w:rsidR="0092149C" w:rsidRDefault="00D9268A">
                  <w:pPr>
                    <w:autoSpaceDE w:val="0"/>
                    <w:autoSpaceDN w:val="0"/>
                    <w:jc w:val="both"/>
                  </w:pPr>
                  <w:r>
                    <w:rPr>
                      <w:rFonts w:ascii="Arial" w:eastAsia="Arial" w:hAnsi="Arial" w:cs="Arial"/>
                      <w:color w:val="000000"/>
                      <w:sz w:val="16"/>
                    </w:rPr>
                    <w:t>1.62%</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734EB224" w14:textId="77777777" w:rsidR="0092149C" w:rsidRDefault="0092149C">
                  <w:pPr>
                    <w:autoSpaceDE w:val="0"/>
                    <w:autoSpaceDN w:val="0"/>
                    <w:jc w:val="both"/>
                    <w:rPr>
                      <w:rFonts w:ascii="Arial" w:eastAsia="Arial" w:hAnsi="Arial" w:cs="Arial"/>
                      <w:color w:val="000000"/>
                      <w:sz w:val="16"/>
                    </w:rPr>
                  </w:pPr>
                </w:p>
              </w:tc>
            </w:tr>
            <w:tr w:rsidR="0092149C" w14:paraId="5737C912"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CE6A43F" w14:textId="77777777" w:rsidR="0092149C" w:rsidRDefault="00D9268A">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92149C" w14:paraId="426D5AA2"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12299C9F" w14:textId="77777777" w:rsidR="0092149C" w:rsidRDefault="00D9268A">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616A3482" w14:textId="77777777" w:rsidR="0092149C" w:rsidRDefault="00D9268A">
                  <w:pPr>
                    <w:autoSpaceDE w:val="0"/>
                    <w:autoSpaceDN w:val="0"/>
                  </w:pPr>
                  <w:r>
                    <w:rPr>
                      <w:rFonts w:ascii="Arial" w:eastAsia="Arial" w:hAnsi="Arial" w:cs="Arial"/>
                      <w:color w:val="000000"/>
                      <w:sz w:val="16"/>
                    </w:rPr>
                    <w:t>0.00%</w:t>
                  </w:r>
                </w:p>
              </w:tc>
            </w:tr>
          </w:tbl>
          <w:p w14:paraId="783AD8E8" w14:textId="77777777" w:rsidR="0092149C" w:rsidRDefault="0092149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92149C" w14:paraId="1173FBDA" w14:textId="77777777">
              <w:trPr>
                <w:trHeight w:hRule="exact" w:val="170"/>
              </w:trPr>
              <w:tc>
                <w:tcPr>
                  <w:tcW w:w="510" w:type="dxa"/>
                  <w:shd w:val="clear" w:color="auto" w:fill="auto"/>
                  <w:noWrap/>
                  <w:tcMar>
                    <w:left w:w="20" w:type="dxa"/>
                    <w:right w:w="20" w:type="dxa"/>
                  </w:tcMar>
                </w:tcPr>
                <w:p w14:paraId="04A0373E" w14:textId="77777777" w:rsidR="0092149C" w:rsidRDefault="0092149C">
                  <w:pPr>
                    <w:autoSpaceDE w:val="0"/>
                    <w:autoSpaceDN w:val="0"/>
                    <w:rPr>
                      <w:rFonts w:ascii="Arial" w:eastAsia="Arial" w:hAnsi="Arial" w:cs="Arial"/>
                      <w:color w:val="000000"/>
                      <w:sz w:val="18"/>
                    </w:rPr>
                  </w:pPr>
                </w:p>
              </w:tc>
            </w:tr>
          </w:tbl>
          <w:p w14:paraId="299181C2" w14:textId="77777777" w:rsidR="0092149C" w:rsidRDefault="0092149C">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92149C" w14:paraId="38C62CA7" w14:textId="77777777">
              <w:tc>
                <w:tcPr>
                  <w:tcW w:w="5017" w:type="dxa"/>
                  <w:shd w:val="clear" w:color="auto" w:fill="auto"/>
                  <w:noWrap/>
                  <w:tcMar>
                    <w:left w:w="56" w:type="dxa"/>
                    <w:right w:w="56" w:type="dxa"/>
                  </w:tcMar>
                  <w:vAlign w:val="center"/>
                </w:tcPr>
                <w:p w14:paraId="4E2BC5B8" w14:textId="77777777" w:rsidR="0092149C" w:rsidRDefault="00D9268A">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004D004F" w14:textId="77777777" w:rsidR="0092149C" w:rsidRDefault="00D9268A">
                  <w:pPr>
                    <w:keepLines/>
                    <w:autoSpaceDE w:val="0"/>
                    <w:autoSpaceDN w:val="0"/>
                    <w:jc w:val="both"/>
                  </w:pPr>
                  <w:r>
                    <w:rPr>
                      <w:rFonts w:ascii="Arial" w:eastAsia="Arial" w:hAnsi="Arial" w:cs="Arial"/>
                      <w:color w:val="000000"/>
                      <w:sz w:val="16"/>
                    </w:rPr>
                    <w:t> </w:t>
                  </w:r>
                </w:p>
                <w:p w14:paraId="25118FB9" w14:textId="77777777" w:rsidR="0092149C" w:rsidRDefault="00D9268A">
                  <w:pPr>
                    <w:keepLines/>
                    <w:autoSpaceDE w:val="0"/>
                    <w:autoSpaceDN w:val="0"/>
                    <w:jc w:val="both"/>
                  </w:pPr>
                  <w:r>
                    <w:rPr>
                      <w:rFonts w:ascii="Arial" w:eastAsia="Arial" w:hAnsi="Arial" w:cs="Arial"/>
                      <w:color w:val="000000"/>
                      <w:sz w:val="16"/>
                    </w:rPr>
                    <w:t>There is no charge for switching between sub-Funds up to a maximum of four times per annum.</w:t>
                  </w:r>
                </w:p>
                <w:p w14:paraId="2DC36874" w14:textId="77777777" w:rsidR="0092149C" w:rsidRDefault="00D9268A">
                  <w:pPr>
                    <w:keepLines/>
                    <w:autoSpaceDE w:val="0"/>
                    <w:autoSpaceDN w:val="0"/>
                    <w:jc w:val="both"/>
                  </w:pPr>
                  <w:r>
                    <w:rPr>
                      <w:rFonts w:ascii="Arial" w:eastAsia="Arial" w:hAnsi="Arial" w:cs="Arial"/>
                      <w:color w:val="000000"/>
                      <w:sz w:val="16"/>
                    </w:rPr>
                    <w:t> </w:t>
                  </w:r>
                </w:p>
                <w:p w14:paraId="3C8AED80" w14:textId="77777777" w:rsidR="0092149C" w:rsidRDefault="00D9268A">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costs, except in the case of an entry or exit charge paid by the UCITS when buying or selling units in another UCITS or collective investment undertaking.</w:t>
                  </w:r>
                </w:p>
              </w:tc>
            </w:tr>
          </w:tbl>
          <w:p w14:paraId="25ABE4C0" w14:textId="77777777" w:rsidR="0092149C" w:rsidRDefault="0092149C">
            <w:pPr>
              <w:keepNext/>
              <w:autoSpaceDE w:val="0"/>
              <w:autoSpaceDN w:val="0"/>
              <w:rPr>
                <w:vanish/>
                <w:sz w:val="2"/>
                <w:szCs w:val="2"/>
              </w:rPr>
            </w:pPr>
          </w:p>
        </w:tc>
      </w:tr>
    </w:tbl>
    <w:p w14:paraId="3CD028EB"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61B82D6B" w14:textId="77777777">
        <w:tc>
          <w:tcPr>
            <w:tcW w:w="10544" w:type="dxa"/>
            <w:shd w:val="clear" w:color="auto" w:fill="auto"/>
            <w:noWrap/>
            <w:tcMar>
              <w:left w:w="56" w:type="dxa"/>
              <w:right w:w="56" w:type="dxa"/>
            </w:tcMar>
            <w:vAlign w:val="center"/>
          </w:tcPr>
          <w:p w14:paraId="18BE9072" w14:textId="77777777" w:rsidR="0092149C" w:rsidRDefault="00D9268A">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71B35110" w14:textId="77777777" w:rsidR="0092149C" w:rsidRDefault="0092149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92149C" w14:paraId="4DD1AFB0" w14:textId="77777777">
        <w:trPr>
          <w:trHeight w:hRule="exact" w:val="283"/>
        </w:trPr>
        <w:tc>
          <w:tcPr>
            <w:tcW w:w="10544" w:type="dxa"/>
            <w:shd w:val="clear" w:color="auto" w:fill="auto"/>
            <w:noWrap/>
            <w:tcMar>
              <w:left w:w="20" w:type="dxa"/>
              <w:right w:w="20" w:type="dxa"/>
            </w:tcMar>
          </w:tcPr>
          <w:p w14:paraId="0739C1EF" w14:textId="77777777" w:rsidR="0092149C" w:rsidRDefault="0092149C">
            <w:pPr>
              <w:autoSpaceDE w:val="0"/>
              <w:autoSpaceDN w:val="0"/>
              <w:rPr>
                <w:rFonts w:ascii="Arial" w:eastAsia="Arial" w:hAnsi="Arial" w:cs="Arial"/>
                <w:color w:val="000000"/>
                <w:sz w:val="18"/>
              </w:rPr>
            </w:pPr>
          </w:p>
        </w:tc>
      </w:tr>
    </w:tbl>
    <w:p w14:paraId="004DBFD1"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28FCB10A"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1C47657" w14:textId="77777777" w:rsidR="0092149C" w:rsidRDefault="00D9268A">
            <w:pPr>
              <w:keepNext/>
              <w:autoSpaceDE w:val="0"/>
              <w:autoSpaceDN w:val="0"/>
            </w:pPr>
            <w:r>
              <w:rPr>
                <w:rFonts w:ascii="Arial" w:eastAsia="Arial" w:hAnsi="Arial" w:cs="Arial"/>
                <w:b/>
                <w:color w:val="000000"/>
                <w:sz w:val="18"/>
              </w:rPr>
              <w:t>Past Performance</w:t>
            </w:r>
          </w:p>
        </w:tc>
      </w:tr>
      <w:tr w:rsidR="0092149C" w14:paraId="5912EA7F" w14:textId="77777777">
        <w:trPr>
          <w:trHeight w:hRule="exact" w:val="226"/>
        </w:trPr>
        <w:tc>
          <w:tcPr>
            <w:tcW w:w="10544" w:type="dxa"/>
            <w:shd w:val="clear" w:color="auto" w:fill="auto"/>
            <w:noWrap/>
            <w:tcMar>
              <w:left w:w="20" w:type="dxa"/>
              <w:right w:w="20" w:type="dxa"/>
            </w:tcMar>
          </w:tcPr>
          <w:p w14:paraId="01208ECC" w14:textId="77777777" w:rsidR="0092149C" w:rsidRDefault="0092149C">
            <w:pPr>
              <w:autoSpaceDE w:val="0"/>
              <w:autoSpaceDN w:val="0"/>
              <w:rPr>
                <w:rFonts w:ascii="Arial" w:eastAsia="Arial" w:hAnsi="Arial" w:cs="Arial"/>
                <w:color w:val="000000"/>
                <w:sz w:val="18"/>
              </w:rPr>
            </w:pPr>
          </w:p>
        </w:tc>
      </w:tr>
    </w:tbl>
    <w:p w14:paraId="45BAE16E" w14:textId="77777777" w:rsidR="0092149C" w:rsidRDefault="0092149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92149C" w14:paraId="1E569957" w14:textId="77777777">
        <w:trPr>
          <w:cantSplit/>
        </w:trPr>
        <w:tc>
          <w:tcPr>
            <w:tcW w:w="5017" w:type="dxa"/>
          </w:tcPr>
          <w:p w14:paraId="2D670F5B" w14:textId="77777777" w:rsidR="0092149C" w:rsidRDefault="00D9268A">
            <w:pPr>
              <w:autoSpaceDE w:val="0"/>
              <w:autoSpaceDN w:val="0"/>
            </w:pPr>
            <w:r>
              <w:rPr>
                <w:noProof/>
              </w:rPr>
              <w:drawing>
                <wp:inline distT="0" distB="0" distL="0" distR="0" wp14:anchorId="38C0E0F9" wp14:editId="5A83831A">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C4DA17" w14:textId="77777777" w:rsidR="0092149C" w:rsidRDefault="0092149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92149C" w14:paraId="43215847" w14:textId="77777777">
              <w:trPr>
                <w:trHeight w:hRule="exact" w:val="170"/>
              </w:trPr>
              <w:tc>
                <w:tcPr>
                  <w:tcW w:w="510" w:type="dxa"/>
                  <w:shd w:val="clear" w:color="auto" w:fill="auto"/>
                  <w:noWrap/>
                  <w:tcMar>
                    <w:left w:w="20" w:type="dxa"/>
                    <w:right w:w="20" w:type="dxa"/>
                  </w:tcMar>
                </w:tcPr>
                <w:p w14:paraId="4BEFA1DC" w14:textId="77777777" w:rsidR="0092149C" w:rsidRDefault="0092149C">
                  <w:pPr>
                    <w:autoSpaceDE w:val="0"/>
                    <w:autoSpaceDN w:val="0"/>
                    <w:rPr>
                      <w:rFonts w:ascii="Arial" w:eastAsia="Arial" w:hAnsi="Arial" w:cs="Arial"/>
                      <w:color w:val="000000"/>
                      <w:sz w:val="18"/>
                    </w:rPr>
                  </w:pPr>
                </w:p>
              </w:tc>
            </w:tr>
          </w:tbl>
          <w:p w14:paraId="71447016" w14:textId="77777777" w:rsidR="0092149C" w:rsidRDefault="0092149C">
            <w:pPr>
              <w:keepNext/>
              <w:autoSpaceDE w:val="0"/>
              <w:autoSpaceDN w:val="0"/>
              <w:rPr>
                <w:vanish/>
                <w:sz w:val="2"/>
                <w:szCs w:val="2"/>
              </w:rPr>
            </w:pPr>
          </w:p>
        </w:tc>
        <w:tc>
          <w:tcPr>
            <w:tcW w:w="5017" w:type="dxa"/>
          </w:tcPr>
          <w:p w14:paraId="698CE317"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5CF0E729" w14:textId="77777777" w:rsidR="0092149C" w:rsidRDefault="0092149C">
            <w:pPr>
              <w:keepLines/>
              <w:autoSpaceDE w:val="0"/>
              <w:autoSpaceDN w:val="0"/>
              <w:spacing w:after="60"/>
              <w:jc w:val="both"/>
              <w:rPr>
                <w:rFonts w:ascii="Arial" w:eastAsia="Arial" w:hAnsi="Arial" w:cs="Arial"/>
                <w:color w:val="000000"/>
                <w:sz w:val="16"/>
                <w:szCs w:val="16"/>
              </w:rPr>
            </w:pPr>
          </w:p>
          <w:p w14:paraId="20E0E8C3"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2016 and shares in this class were issued in 2016.</w:t>
            </w:r>
          </w:p>
          <w:p w14:paraId="6F4E44A6" w14:textId="77777777" w:rsidR="0092149C" w:rsidRDefault="0092149C">
            <w:pPr>
              <w:keepLines/>
              <w:autoSpaceDE w:val="0"/>
              <w:autoSpaceDN w:val="0"/>
              <w:spacing w:after="60"/>
              <w:jc w:val="both"/>
              <w:rPr>
                <w:rFonts w:ascii="Arial" w:eastAsia="Arial" w:hAnsi="Arial" w:cs="Arial"/>
                <w:color w:val="000000"/>
                <w:sz w:val="16"/>
                <w:szCs w:val="16"/>
              </w:rPr>
            </w:pPr>
          </w:p>
          <w:p w14:paraId="28AC7CE8"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7C4099A2" w14:textId="77777777" w:rsidR="0092149C" w:rsidRDefault="0092149C">
            <w:pPr>
              <w:keepLines/>
              <w:autoSpaceDE w:val="0"/>
              <w:autoSpaceDN w:val="0"/>
              <w:spacing w:after="60"/>
              <w:jc w:val="both"/>
              <w:rPr>
                <w:rFonts w:ascii="Arial" w:eastAsia="Arial" w:hAnsi="Arial" w:cs="Arial"/>
                <w:color w:val="000000"/>
                <w:sz w:val="16"/>
                <w:szCs w:val="16"/>
              </w:rPr>
            </w:pPr>
          </w:p>
          <w:p w14:paraId="5552D562" w14:textId="77777777" w:rsidR="0092149C" w:rsidRDefault="00D9268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65D1026A" w14:textId="77777777" w:rsidR="0092149C" w:rsidRDefault="0092149C">
            <w:pPr>
              <w:keepNext/>
              <w:autoSpaceDE w:val="0"/>
              <w:autoSpaceDN w:val="0"/>
              <w:rPr>
                <w:vanish/>
                <w:sz w:val="2"/>
                <w:szCs w:val="2"/>
              </w:rPr>
            </w:pPr>
          </w:p>
        </w:tc>
      </w:tr>
    </w:tbl>
    <w:p w14:paraId="7B45699B" w14:textId="77777777" w:rsidR="0092149C" w:rsidRDefault="0092149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92149C" w14:paraId="35E46208" w14:textId="77777777">
        <w:trPr>
          <w:trHeight w:hRule="exact" w:val="283"/>
        </w:trPr>
        <w:tc>
          <w:tcPr>
            <w:tcW w:w="10544" w:type="dxa"/>
            <w:shd w:val="clear" w:color="auto" w:fill="auto"/>
            <w:noWrap/>
            <w:tcMar>
              <w:left w:w="20" w:type="dxa"/>
              <w:right w:w="20" w:type="dxa"/>
            </w:tcMar>
          </w:tcPr>
          <w:p w14:paraId="30F158B2" w14:textId="77777777" w:rsidR="0092149C" w:rsidRDefault="0092149C">
            <w:pPr>
              <w:autoSpaceDE w:val="0"/>
              <w:autoSpaceDN w:val="0"/>
              <w:rPr>
                <w:rFonts w:ascii="Arial" w:eastAsia="Arial" w:hAnsi="Arial" w:cs="Arial"/>
                <w:color w:val="000000"/>
                <w:sz w:val="18"/>
              </w:rPr>
            </w:pPr>
          </w:p>
        </w:tc>
      </w:tr>
    </w:tbl>
    <w:p w14:paraId="15919DAF" w14:textId="77777777" w:rsidR="0092149C" w:rsidRDefault="0092149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2149C" w14:paraId="51846F1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E5AEEB6" w14:textId="77777777" w:rsidR="0092149C" w:rsidRDefault="00D9268A">
            <w:pPr>
              <w:keepNext/>
              <w:autoSpaceDE w:val="0"/>
              <w:autoSpaceDN w:val="0"/>
            </w:pPr>
            <w:r>
              <w:rPr>
                <w:rFonts w:ascii="Arial" w:eastAsia="Arial" w:hAnsi="Arial" w:cs="Arial"/>
                <w:b/>
                <w:color w:val="000000"/>
                <w:sz w:val="18"/>
              </w:rPr>
              <w:t>Practical Information</w:t>
            </w:r>
          </w:p>
        </w:tc>
      </w:tr>
      <w:tr w:rsidR="0092149C" w14:paraId="53AE7DFB" w14:textId="77777777">
        <w:trPr>
          <w:trHeight w:hRule="exact" w:val="226"/>
        </w:trPr>
        <w:tc>
          <w:tcPr>
            <w:tcW w:w="10544" w:type="dxa"/>
            <w:shd w:val="clear" w:color="auto" w:fill="auto"/>
            <w:noWrap/>
            <w:tcMar>
              <w:left w:w="20" w:type="dxa"/>
              <w:right w:w="20" w:type="dxa"/>
            </w:tcMar>
          </w:tcPr>
          <w:p w14:paraId="60A5CCCB" w14:textId="77777777" w:rsidR="0092149C" w:rsidRDefault="0092149C">
            <w:pPr>
              <w:autoSpaceDE w:val="0"/>
              <w:autoSpaceDN w:val="0"/>
              <w:rPr>
                <w:rFonts w:ascii="Arial" w:eastAsia="Arial" w:hAnsi="Arial" w:cs="Arial"/>
                <w:color w:val="000000"/>
                <w:sz w:val="18"/>
              </w:rPr>
            </w:pPr>
          </w:p>
        </w:tc>
      </w:tr>
    </w:tbl>
    <w:p w14:paraId="6823F826" w14:textId="77777777" w:rsidR="0092149C" w:rsidRDefault="0092149C">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92149C" w14:paraId="78935A82" w14:textId="77777777">
        <w:tc>
          <w:tcPr>
            <w:tcW w:w="4989" w:type="dxa"/>
            <w:shd w:val="clear" w:color="auto" w:fill="auto"/>
            <w:noWrap/>
            <w:tcMar>
              <w:left w:w="56" w:type="dxa"/>
              <w:right w:w="56" w:type="dxa"/>
            </w:tcMar>
          </w:tcPr>
          <w:p w14:paraId="46F3AE35" w14:textId="77777777" w:rsidR="0092149C" w:rsidRDefault="00D9268A">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0D6F1062" w14:textId="77777777" w:rsidR="0092149C" w:rsidRDefault="0092149C">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78D42D01" w14:textId="77777777" w:rsidR="0092149C" w:rsidRDefault="00D9268A">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Seed Global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7ECF8269" w14:textId="77777777" w:rsidR="0092149C" w:rsidRDefault="00D9268A">
            <w:pPr>
              <w:keepNext/>
              <w:keepLines/>
              <w:autoSpaceDE w:val="0"/>
              <w:autoSpaceDN w:val="0"/>
              <w:jc w:val="both"/>
            </w:pPr>
            <w:r>
              <w:rPr>
                <w:rFonts w:ascii="Arial" w:eastAsia="Arial" w:hAnsi="Arial" w:cs="Arial"/>
                <w:color w:val="000000"/>
                <w:sz w:val="16"/>
              </w:rPr>
              <w:t> </w:t>
            </w:r>
          </w:p>
          <w:p w14:paraId="79CAEA81" w14:textId="77777777" w:rsidR="0092149C" w:rsidRDefault="00D9268A">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92149C" w14:paraId="64245D23" w14:textId="77777777">
        <w:trPr>
          <w:trHeight w:hRule="exact" w:val="226"/>
        </w:trPr>
        <w:tc>
          <w:tcPr>
            <w:tcW w:w="10488" w:type="dxa"/>
            <w:gridSpan w:val="3"/>
            <w:shd w:val="clear" w:color="auto" w:fill="auto"/>
            <w:noWrap/>
            <w:tcMar>
              <w:left w:w="56" w:type="dxa"/>
              <w:right w:w="56" w:type="dxa"/>
            </w:tcMar>
            <w:vAlign w:val="center"/>
          </w:tcPr>
          <w:p w14:paraId="480432F9" w14:textId="77777777" w:rsidR="0092149C" w:rsidRDefault="0092149C">
            <w:pPr>
              <w:keepNext/>
              <w:autoSpaceDE w:val="0"/>
              <w:autoSpaceDN w:val="0"/>
              <w:jc w:val="both"/>
              <w:rPr>
                <w:rFonts w:ascii="Arial" w:eastAsia="Arial" w:hAnsi="Arial" w:cs="Arial"/>
                <w:color w:val="000000"/>
                <w:sz w:val="16"/>
              </w:rPr>
            </w:pPr>
          </w:p>
        </w:tc>
      </w:tr>
      <w:tr w:rsidR="0092149C" w14:paraId="3C8F3903" w14:textId="77777777">
        <w:tc>
          <w:tcPr>
            <w:tcW w:w="10488" w:type="dxa"/>
            <w:gridSpan w:val="3"/>
            <w:shd w:val="clear" w:color="auto" w:fill="auto"/>
            <w:noWrap/>
            <w:tcMar>
              <w:left w:w="56" w:type="dxa"/>
              <w:right w:w="56" w:type="dxa"/>
            </w:tcMar>
            <w:vAlign w:val="center"/>
          </w:tcPr>
          <w:p w14:paraId="7DBFA7A4" w14:textId="5D8E8B6D" w:rsidR="0092149C" w:rsidRDefault="00D9268A">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This Key Information Document is accurate as at </w:t>
            </w:r>
            <w:r w:rsidR="00D3151D">
              <w:rPr>
                <w:rFonts w:ascii="Arial" w:eastAsia="Arial" w:hAnsi="Arial" w:cs="Arial"/>
                <w:color w:val="000000"/>
                <w:sz w:val="16"/>
              </w:rPr>
              <w:t>22 July</w:t>
            </w:r>
            <w:r>
              <w:rPr>
                <w:rFonts w:ascii="Arial" w:eastAsia="Arial" w:hAnsi="Arial" w:cs="Arial"/>
                <w:color w:val="000000"/>
                <w:sz w:val="16"/>
              </w:rPr>
              <w:t xml:space="preserve"> 2022. </w:t>
            </w:r>
          </w:p>
        </w:tc>
      </w:tr>
    </w:tbl>
    <w:p w14:paraId="5D8AFA6F" w14:textId="77777777" w:rsidR="0092149C" w:rsidRDefault="0092149C">
      <w:pPr>
        <w:autoSpaceDE w:val="0"/>
        <w:autoSpaceDN w:val="0"/>
        <w:rPr>
          <w:sz w:val="2"/>
          <w:szCs w:val="2"/>
        </w:rPr>
      </w:pPr>
    </w:p>
    <w:sectPr w:rsidR="0092149C">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2EA4" w14:textId="77777777" w:rsidR="00691773" w:rsidRDefault="00D9268A">
      <w:r>
        <w:separator/>
      </w:r>
    </w:p>
  </w:endnote>
  <w:endnote w:type="continuationSeparator" w:id="0">
    <w:p w14:paraId="7F0B4F45" w14:textId="77777777" w:rsidR="00691773" w:rsidRDefault="00D9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4900" w14:textId="77777777" w:rsidR="0092149C" w:rsidRDefault="0092149C">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C7D" w14:textId="77777777" w:rsidR="0092149C" w:rsidRDefault="0092149C">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63B3" w14:textId="77777777" w:rsidR="0092149C" w:rsidRDefault="0092149C">
      <w:pPr>
        <w:pStyle w:val="Footer"/>
        <w:autoSpaceDE w:val="0"/>
        <w:autoSpaceDN w:val="0"/>
      </w:pPr>
    </w:p>
  </w:footnote>
  <w:footnote w:type="continuationSeparator" w:id="0">
    <w:p w14:paraId="2ED03B9F" w14:textId="77777777" w:rsidR="0092149C" w:rsidRDefault="00D9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8A92" w14:textId="77777777" w:rsidR="0092149C" w:rsidRDefault="0092149C">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83A3" w14:textId="77777777" w:rsidR="0092149C" w:rsidRDefault="0092149C">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714B7"/>
    <w:multiLevelType w:val="multilevel"/>
    <w:tmpl w:val="A7002BB2"/>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544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92149C"/>
    <w:rsid w:val="00691773"/>
    <w:rsid w:val="0092149C"/>
    <w:rsid w:val="00D3151D"/>
    <w:rsid w:val="00D9268A"/>
    <w:rsid w:val="00EA70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6D34"/>
  <w15:docId w15:val="{B4ECB446-157E-4E2E-90CF-ED0A20AB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Data!$A$2:$A$7</c:f>
              <c:strCache>
                <c:ptCount val="6"/>
                <c:pt idx="0">
                  <c:v>2016</c:v>
                </c:pt>
                <c:pt idx="1">
                  <c:v>2017</c:v>
                </c:pt>
                <c:pt idx="2">
                  <c:v>2018</c:v>
                </c:pt>
                <c:pt idx="3">
                  <c:v>2019</c:v>
                </c:pt>
                <c:pt idx="4">
                  <c:v>2020</c:v>
                </c:pt>
                <c:pt idx="5">
                  <c:v>2021</c:v>
                </c:pt>
              </c:strCache>
            </c:strRef>
          </c:cat>
          <c:val>
            <c:numRef>
              <c:f>Data!$B$2:$B$7</c:f>
              <c:numCache>
                <c:formatCode>General</c:formatCode>
                <c:ptCount val="6"/>
                <c:pt idx="1">
                  <c:v>18.473815461347002</c:v>
                </c:pt>
                <c:pt idx="2">
                  <c:v>-6.1968510566640003</c:v>
                </c:pt>
                <c:pt idx="3">
                  <c:v>19.271160578044</c:v>
                </c:pt>
                <c:pt idx="4">
                  <c:v>10.039133052377</c:v>
                </c:pt>
                <c:pt idx="5">
                  <c:v>7.6254958282030003</c:v>
                </c:pt>
              </c:numCache>
            </c:numRef>
          </c:val>
          <c:extLst xmlns:c16="http://schemas.microsoft.com/office/drawing/2014/chart">
            <c:ext xmlns:c16="http://schemas.microsoft.com/office/drawing/2014/chart" uri="{C3380CC4-5D6E-409C-BE32-E72D297353CC}">
              <c16:uniqueId val="{00000000-2528-4FA2-B372-287A4A049712}"/>
            </c:ext>
          </c:extLst>
        </c:ser>
        <c:ser>
          <c:idx val="1"/>
          <c:order val="1"/>
          <c:tx>
            <c:strRef>
              <c:f>Data!$C$1</c:f>
              <c:strCache>
                <c:ptCount val="1"/>
                <c:pt idx="0">
                  <c:v>ICE 3M USD LIBOR</c:v>
                </c:pt>
              </c:strCache>
            </c:strRef>
          </c:tx>
          <c:spPr>
            <a:solidFill>
              <a:srgbClr val="B3B3B3"/>
            </a:solidFill>
            <a:ln>
              <a:noFill/>
            </a:ln>
          </c:spPr>
          <c:invertIfNegative val="0"/>
          <c:cat>
            <c:strRef>
              <c:f>Data!$A$2:$A$7</c:f>
              <c:strCache>
                <c:ptCount val="6"/>
                <c:pt idx="0">
                  <c:v>2016</c:v>
                </c:pt>
                <c:pt idx="1">
                  <c:v>2017</c:v>
                </c:pt>
                <c:pt idx="2">
                  <c:v>2018</c:v>
                </c:pt>
                <c:pt idx="3">
                  <c:v>2019</c:v>
                </c:pt>
                <c:pt idx="4">
                  <c:v>2020</c:v>
                </c:pt>
                <c:pt idx="5">
                  <c:v>2021</c:v>
                </c:pt>
              </c:strCache>
            </c:strRef>
          </c:cat>
          <c:val>
            <c:numRef>
              <c:f>Data!$C$2:$C$7</c:f>
              <c:numCache>
                <c:formatCode>General</c:formatCode>
                <c:ptCount val="6"/>
                <c:pt idx="1">
                  <c:v>1.271665847952</c:v>
                </c:pt>
                <c:pt idx="2">
                  <c:v>2.335271614741</c:v>
                </c:pt>
                <c:pt idx="3">
                  <c:v>2.3534827909609999</c:v>
                </c:pt>
                <c:pt idx="4">
                  <c:v>0.657812746886</c:v>
                </c:pt>
                <c:pt idx="5">
                  <c:v>0.162340090095</c:v>
                </c:pt>
              </c:numCache>
            </c:numRef>
          </c:val>
          <c:extLst xmlns:c16="http://schemas.microsoft.com/office/drawing/2014/chart">
            <c:ext xmlns:c16="http://schemas.microsoft.com/office/drawing/2014/chart" uri="{C3380CC4-5D6E-409C-BE32-E72D297353CC}">
              <c16:uniqueId val="{00000001-2528-4FA2-B372-287A4A049712}"/>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5.271160578044"/>
          <c:min val="-12"/>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6"/>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Seed Global Fund 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4</cp:revision>
  <dcterms:created xsi:type="dcterms:W3CDTF">2022-02-17T09:34:00Z</dcterms:created>
  <dcterms:modified xsi:type="dcterms:W3CDTF">2022-07-22T08:01:00Z</dcterms:modified>
</cp:coreProperties>
</file>