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2" w:type="dxa"/>
        <w:tblLayout w:type="fixed"/>
        <w:tblCellMar>
          <w:left w:w="0" w:type="dxa"/>
          <w:right w:w="0" w:type="dxa"/>
        </w:tblCellMar>
        <w:tblLook w:val="0000" w:firstRow="0" w:lastRow="0" w:firstColumn="0" w:lastColumn="0" w:noHBand="0" w:noVBand="0"/>
      </w:tblPr>
      <w:tblGrid>
        <w:gridCol w:w="10836"/>
      </w:tblGrid>
      <w:tr w:rsidR="002C6FC7" w14:paraId="6B06666E" w14:textId="77777777">
        <w:trPr>
          <w:trHeight w:val="356"/>
        </w:trPr>
        <w:tc>
          <w:tcPr>
            <w:tcW w:w="10836" w:type="dxa"/>
            <w:tcBorders>
              <w:top w:val="none" w:sz="6" w:space="0" w:color="auto"/>
              <w:left w:val="none" w:sz="6" w:space="0" w:color="auto"/>
              <w:bottom w:val="none" w:sz="6" w:space="0" w:color="auto"/>
              <w:right w:val="none" w:sz="6" w:space="0" w:color="auto"/>
            </w:tcBorders>
          </w:tcPr>
          <w:p w14:paraId="15514D12" w14:textId="77777777" w:rsidR="002C6FC7" w:rsidRDefault="00B52B49">
            <w:pPr>
              <w:pStyle w:val="TableParagraph"/>
              <w:kinsoku w:val="0"/>
              <w:overflowPunct w:val="0"/>
              <w:spacing w:line="314" w:lineRule="exact"/>
              <w:ind w:left="3747" w:right="3750"/>
              <w:jc w:val="center"/>
              <w:rPr>
                <w:b/>
                <w:bCs/>
                <w:sz w:val="28"/>
                <w:szCs w:val="28"/>
              </w:rPr>
            </w:pPr>
            <w:r>
              <w:rPr>
                <w:b/>
                <w:bCs/>
                <w:sz w:val="28"/>
                <w:szCs w:val="28"/>
              </w:rPr>
              <w:t>Key Investor Information</w:t>
            </w:r>
          </w:p>
        </w:tc>
      </w:tr>
      <w:tr w:rsidR="002C6FC7" w14:paraId="2E5A1AB3" w14:textId="77777777">
        <w:trPr>
          <w:trHeight w:val="589"/>
        </w:trPr>
        <w:tc>
          <w:tcPr>
            <w:tcW w:w="10836" w:type="dxa"/>
            <w:tcBorders>
              <w:top w:val="none" w:sz="6" w:space="0" w:color="auto"/>
              <w:left w:val="none" w:sz="6" w:space="0" w:color="auto"/>
              <w:bottom w:val="none" w:sz="6" w:space="0" w:color="auto"/>
              <w:right w:val="none" w:sz="6" w:space="0" w:color="auto"/>
            </w:tcBorders>
          </w:tcPr>
          <w:p w14:paraId="6F948152" w14:textId="77777777" w:rsidR="002C6FC7" w:rsidRDefault="00B52B49">
            <w:pPr>
              <w:pStyle w:val="TableParagraph"/>
              <w:kinsoku w:val="0"/>
              <w:overflowPunct w:val="0"/>
              <w:spacing w:before="38"/>
              <w:ind w:left="200"/>
              <w:rPr>
                <w:b/>
                <w:bCs/>
                <w:sz w:val="16"/>
                <w:szCs w:val="16"/>
              </w:rPr>
            </w:pPr>
            <w:r>
              <w:rPr>
                <w:b/>
                <w:bCs/>
                <w:sz w:val="16"/>
                <w:szCs w:val="16"/>
              </w:rPr>
              <w:t>This document provides you with key investor information about this Fund. It is not marketing material. The information is required by</w:t>
            </w:r>
          </w:p>
          <w:p w14:paraId="2F320E44" w14:textId="77777777" w:rsidR="002C6FC7" w:rsidRDefault="00B52B49">
            <w:pPr>
              <w:pStyle w:val="TableParagraph"/>
              <w:kinsoku w:val="0"/>
              <w:overflowPunct w:val="0"/>
              <w:spacing w:before="5" w:line="182" w:lineRule="exact"/>
              <w:ind w:left="200"/>
              <w:rPr>
                <w:b/>
                <w:bCs/>
                <w:sz w:val="16"/>
                <w:szCs w:val="16"/>
              </w:rPr>
            </w:pPr>
            <w:r>
              <w:rPr>
                <w:b/>
                <w:bCs/>
                <w:sz w:val="16"/>
                <w:szCs w:val="16"/>
              </w:rPr>
              <w:t>law to help you understand the nature and the risks of investing in this Fund. You are advised to read it so you can make an informed decision about whether to invest.</w:t>
            </w:r>
          </w:p>
        </w:tc>
      </w:tr>
    </w:tbl>
    <w:p w14:paraId="51BF1041" w14:textId="77777777" w:rsidR="002C6FC7" w:rsidRDefault="002C6FC7">
      <w:pPr>
        <w:pStyle w:val="BodyText"/>
        <w:kinsoku w:val="0"/>
        <w:overflowPunct w:val="0"/>
        <w:spacing w:before="10"/>
        <w:rPr>
          <w:rFonts w:ascii="Times New Roman" w:hAnsi="Times New Roman" w:cs="Times New Roman"/>
        </w:rPr>
      </w:pPr>
    </w:p>
    <w:tbl>
      <w:tblPr>
        <w:tblW w:w="0" w:type="auto"/>
        <w:tblInd w:w="246" w:type="dxa"/>
        <w:tblLayout w:type="fixed"/>
        <w:tblCellMar>
          <w:left w:w="0" w:type="dxa"/>
          <w:right w:w="0" w:type="dxa"/>
        </w:tblCellMar>
        <w:tblLook w:val="0000" w:firstRow="0" w:lastRow="0" w:firstColumn="0" w:lastColumn="0" w:noHBand="0" w:noVBand="0"/>
      </w:tblPr>
      <w:tblGrid>
        <w:gridCol w:w="10543"/>
      </w:tblGrid>
      <w:tr w:rsidR="002C6FC7" w14:paraId="7CAD067F" w14:textId="77777777">
        <w:trPr>
          <w:trHeight w:val="329"/>
        </w:trPr>
        <w:tc>
          <w:tcPr>
            <w:tcW w:w="10543" w:type="dxa"/>
            <w:tcBorders>
              <w:top w:val="none" w:sz="6" w:space="0" w:color="auto"/>
              <w:left w:val="none" w:sz="6" w:space="0" w:color="auto"/>
              <w:bottom w:val="none" w:sz="6" w:space="0" w:color="auto"/>
              <w:right w:val="none" w:sz="6" w:space="0" w:color="auto"/>
            </w:tcBorders>
            <w:shd w:val="clear" w:color="auto" w:fill="C0C0C0"/>
          </w:tcPr>
          <w:p w14:paraId="29DF758A" w14:textId="5CD18E9E" w:rsidR="002C6FC7" w:rsidRDefault="0040097C">
            <w:pPr>
              <w:pStyle w:val="TableParagraph"/>
              <w:kinsoku w:val="0"/>
              <w:overflowPunct w:val="0"/>
              <w:spacing w:before="34" w:line="275" w:lineRule="exact"/>
              <w:rPr>
                <w:b/>
                <w:bCs/>
              </w:rPr>
            </w:pPr>
            <w:r>
              <w:rPr>
                <w:b/>
                <w:bCs/>
              </w:rPr>
              <w:t>Aylett Global Equity Fund</w:t>
            </w:r>
          </w:p>
        </w:tc>
      </w:tr>
      <w:tr w:rsidR="002C6FC7" w14:paraId="5103C70F" w14:textId="77777777">
        <w:trPr>
          <w:trHeight w:val="210"/>
        </w:trPr>
        <w:tc>
          <w:tcPr>
            <w:tcW w:w="10543" w:type="dxa"/>
            <w:tcBorders>
              <w:top w:val="none" w:sz="6" w:space="0" w:color="auto"/>
              <w:left w:val="none" w:sz="6" w:space="0" w:color="auto"/>
              <w:bottom w:val="none" w:sz="6" w:space="0" w:color="auto"/>
              <w:right w:val="none" w:sz="6" w:space="0" w:color="auto"/>
            </w:tcBorders>
            <w:shd w:val="clear" w:color="auto" w:fill="C0C0C0"/>
          </w:tcPr>
          <w:p w14:paraId="14DF2E66" w14:textId="77777777" w:rsidR="002C6FC7" w:rsidRDefault="00B52B49">
            <w:pPr>
              <w:pStyle w:val="TableParagraph"/>
              <w:kinsoku w:val="0"/>
              <w:overflowPunct w:val="0"/>
              <w:spacing w:before="15" w:line="176" w:lineRule="exact"/>
              <w:rPr>
                <w:b/>
                <w:bCs/>
                <w:sz w:val="16"/>
                <w:szCs w:val="16"/>
              </w:rPr>
            </w:pPr>
            <w:r>
              <w:rPr>
                <w:b/>
                <w:bCs/>
                <w:sz w:val="16"/>
                <w:szCs w:val="16"/>
              </w:rPr>
              <w:t>a sub-Fund of PRESCIENT GLOBAL FUNDS ICAV (the “ICAV")</w:t>
            </w:r>
          </w:p>
        </w:tc>
      </w:tr>
      <w:tr w:rsidR="002C6FC7" w14:paraId="0F5F77B3" w14:textId="77777777">
        <w:trPr>
          <w:trHeight w:val="238"/>
        </w:trPr>
        <w:tc>
          <w:tcPr>
            <w:tcW w:w="10543" w:type="dxa"/>
            <w:tcBorders>
              <w:top w:val="none" w:sz="6" w:space="0" w:color="auto"/>
              <w:left w:val="none" w:sz="6" w:space="0" w:color="auto"/>
              <w:bottom w:val="none" w:sz="6" w:space="0" w:color="auto"/>
              <w:right w:val="none" w:sz="6" w:space="0" w:color="auto"/>
            </w:tcBorders>
            <w:shd w:val="clear" w:color="auto" w:fill="D9D9D9"/>
          </w:tcPr>
          <w:p w14:paraId="18F879A5" w14:textId="260A26FC" w:rsidR="002C6FC7" w:rsidRDefault="00B52B49" w:rsidP="00FB2755">
            <w:pPr>
              <w:pStyle w:val="TableParagraph"/>
              <w:kinsoku w:val="0"/>
              <w:overflowPunct w:val="0"/>
              <w:spacing w:before="20"/>
              <w:rPr>
                <w:b/>
                <w:bCs/>
                <w:sz w:val="16"/>
                <w:szCs w:val="16"/>
              </w:rPr>
            </w:pPr>
            <w:r>
              <w:rPr>
                <w:b/>
                <w:bCs/>
                <w:sz w:val="16"/>
                <w:szCs w:val="16"/>
              </w:rPr>
              <w:t xml:space="preserve">Share Class: </w:t>
            </w:r>
            <w:r w:rsidR="00FB2755">
              <w:rPr>
                <w:b/>
                <w:bCs/>
                <w:sz w:val="16"/>
                <w:szCs w:val="16"/>
              </w:rPr>
              <w:t>A</w:t>
            </w:r>
            <w:r w:rsidR="00601E99">
              <w:rPr>
                <w:b/>
                <w:bCs/>
                <w:sz w:val="16"/>
                <w:szCs w:val="16"/>
              </w:rPr>
              <w:t>2</w:t>
            </w:r>
            <w:r w:rsidR="00FB2755">
              <w:rPr>
                <w:b/>
                <w:bCs/>
                <w:sz w:val="16"/>
                <w:szCs w:val="16"/>
              </w:rPr>
              <w:t xml:space="preserve"> USD  </w:t>
            </w:r>
          </w:p>
        </w:tc>
      </w:tr>
      <w:tr w:rsidR="002C6FC7" w14:paraId="2E544AD6" w14:textId="77777777">
        <w:trPr>
          <w:trHeight w:val="212"/>
        </w:trPr>
        <w:tc>
          <w:tcPr>
            <w:tcW w:w="10543" w:type="dxa"/>
            <w:tcBorders>
              <w:top w:val="none" w:sz="6" w:space="0" w:color="auto"/>
              <w:left w:val="none" w:sz="6" w:space="0" w:color="auto"/>
              <w:bottom w:val="none" w:sz="6" w:space="0" w:color="auto"/>
              <w:right w:val="none" w:sz="6" w:space="0" w:color="auto"/>
            </w:tcBorders>
            <w:shd w:val="clear" w:color="auto" w:fill="D9D9D9"/>
          </w:tcPr>
          <w:p w14:paraId="5C7FCFD0" w14:textId="0036FECD" w:rsidR="002C6FC7" w:rsidRDefault="00B52B49">
            <w:pPr>
              <w:pStyle w:val="TableParagraph"/>
              <w:kinsoku w:val="0"/>
              <w:overflowPunct w:val="0"/>
              <w:spacing w:before="29" w:line="164" w:lineRule="exact"/>
              <w:rPr>
                <w:b/>
                <w:bCs/>
                <w:sz w:val="16"/>
                <w:szCs w:val="16"/>
              </w:rPr>
            </w:pPr>
            <w:r>
              <w:rPr>
                <w:b/>
                <w:bCs/>
                <w:sz w:val="16"/>
                <w:szCs w:val="16"/>
              </w:rPr>
              <w:t>This Fund is managed by Prescient Fu</w:t>
            </w:r>
            <w:r w:rsidR="00033920">
              <w:rPr>
                <w:b/>
                <w:bCs/>
                <w:sz w:val="16"/>
                <w:szCs w:val="16"/>
              </w:rPr>
              <w:t>nd Services (Ireland) Limited (t</w:t>
            </w:r>
            <w:r>
              <w:rPr>
                <w:b/>
                <w:bCs/>
                <w:sz w:val="16"/>
                <w:szCs w:val="16"/>
              </w:rPr>
              <w:t>he "Manager")</w:t>
            </w:r>
          </w:p>
        </w:tc>
      </w:tr>
    </w:tbl>
    <w:p w14:paraId="72C7B946" w14:textId="77777777" w:rsidR="002C6FC7" w:rsidRDefault="002C6FC7">
      <w:pPr>
        <w:pStyle w:val="BodyText"/>
        <w:kinsoku w:val="0"/>
        <w:overflowPunct w:val="0"/>
        <w:spacing w:before="1"/>
        <w:rPr>
          <w:rFonts w:ascii="Times New Roman" w:hAnsi="Times New Roman" w:cs="Times New Roman"/>
          <w:sz w:val="27"/>
          <w:szCs w:val="27"/>
        </w:rPr>
      </w:pPr>
    </w:p>
    <w:p w14:paraId="731BA1D8" w14:textId="77777777" w:rsidR="002C6FC7" w:rsidRDefault="00B52B49">
      <w:pPr>
        <w:pStyle w:val="BodyText"/>
        <w:kinsoku w:val="0"/>
        <w:overflowPunct w:val="0"/>
        <w:ind w:left="241"/>
        <w:rPr>
          <w:rFonts w:ascii="Times New Roman" w:hAnsi="Times New Roman" w:cs="Times New Roman"/>
          <w:sz w:val="20"/>
          <w:szCs w:val="20"/>
        </w:rPr>
      </w:pPr>
      <w:r>
        <w:rPr>
          <w:rFonts w:ascii="Times New Roman" w:hAnsi="Times New Roman" w:cs="Times New Roman"/>
          <w:noProof/>
          <w:sz w:val="20"/>
          <w:szCs w:val="20"/>
        </w:rPr>
        <mc:AlternateContent>
          <mc:Choice Requires="wps">
            <w:drawing>
              <wp:inline distT="0" distB="0" distL="0" distR="0" wp14:anchorId="478C6F66" wp14:editId="719A77FD">
                <wp:extent cx="6695440" cy="161925"/>
                <wp:effectExtent l="10160" t="9525" r="5715" b="13335"/>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225" cy="129540"/>
                        </a:xfrm>
                        <a:prstGeom prst="rect">
                          <a:avLst/>
                        </a:prstGeom>
                        <a:solidFill>
                          <a:srgbClr val="BEBEBE"/>
                        </a:solidFill>
                        <a:ln w="6108" cmpd="sng">
                          <a:solidFill>
                            <a:srgbClr val="000000"/>
                          </a:solidFill>
                          <a:miter lim="800000"/>
                          <a:headEnd/>
                          <a:tailEnd/>
                        </a:ln>
                      </wps:spPr>
                      <wps:txbx>
                        <w:txbxContent>
                          <w:p w14:paraId="7448CE85" w14:textId="77777777" w:rsidR="002C6FC7" w:rsidRDefault="00B52B49">
                            <w:pPr>
                              <w:pStyle w:val="BodyText"/>
                              <w:kinsoku w:val="0"/>
                              <w:overflowPunct w:val="0"/>
                              <w:spacing w:before="18"/>
                              <w:ind w:left="50"/>
                              <w:rPr>
                                <w:b/>
                                <w:bCs/>
                                <w:sz w:val="18"/>
                                <w:szCs w:val="18"/>
                              </w:rPr>
                            </w:pPr>
                            <w:r>
                              <w:rPr>
                                <w:b/>
                                <w:bCs/>
                                <w:sz w:val="18"/>
                                <w:szCs w:val="18"/>
                              </w:rPr>
                              <w:t>Objectives and Investment Policy</w:t>
                            </w:r>
                          </w:p>
                        </w:txbxContent>
                      </wps:txbx>
                      <wps:bodyPr rot="0" vert="horz" wrap="square" lIns="0" tIns="0" rIns="0" bIns="0" anchor="t" anchorCtr="0" upright="1">
                        <a:noAutofit/>
                      </wps:bodyPr>
                    </wps:wsp>
                  </a:graphicData>
                </a:graphic>
              </wp:inline>
            </w:drawing>
          </mc:Choice>
          <mc:Fallback>
            <w:pict>
              <v:shapetype w14:anchorId="478C6F66" id="_x0000_t202" coordsize="21600,21600" o:spt="202" path="m,l,21600r21600,l21600,xe">
                <v:stroke joinstyle="miter"/>
                <v:path gradientshapeok="t" o:connecttype="rect"/>
              </v:shapetype>
              <v:shape id="Text Box 2" o:spid="_x0000_s1026" type="#_x0000_t202" style="width:527.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" fillcolor="#bebebe" strokeweight=".16967mm">
                <v:textbox inset="0,0,0,0">
                  <w:txbxContent>
                    <w:p w14:paraId="7448CE85" w14:textId="77777777" w:rsidR="002C6FC7" w:rsidRDefault="00B52B49">
                      <w:pPr>
                        <w:pStyle w:val="BodyText"/>
                        <w:kinsoku w:val="0"/>
                        <w:overflowPunct w:val="0"/>
                        <w:spacing w:before="18"/>
                        <w:ind w:left="50"/>
                        <w:rPr>
                          <w:b/>
                          <w:bCs/>
                          <w:sz w:val="18"/>
                          <w:szCs w:val="18"/>
                        </w:rPr>
                      </w:pPr>
                      <w:r>
                        <w:rPr>
                          <w:b/>
                          <w:bCs/>
                          <w:sz w:val="18"/>
                          <w:szCs w:val="18"/>
                        </w:rPr>
                        <w:t>Objectives and Investment Policy</w:t>
                      </w:r>
                    </w:p>
                  </w:txbxContent>
                </v:textbox>
                <w10:anchorlock/>
              </v:shape>
            </w:pict>
          </mc:Fallback>
        </mc:AlternateContent>
      </w:r>
    </w:p>
    <w:p w14:paraId="061CDF92" w14:textId="77777777" w:rsidR="002C6FC7" w:rsidRDefault="002C6FC7">
      <w:pPr>
        <w:pStyle w:val="BodyText"/>
        <w:kinsoku w:val="0"/>
        <w:overflowPunct w:val="0"/>
        <w:ind w:left="241"/>
        <w:rPr>
          <w:rFonts w:ascii="Times New Roman" w:hAnsi="Times New Roman" w:cs="Times New Roman"/>
          <w:sz w:val="20"/>
          <w:szCs w:val="20"/>
        </w:rPr>
        <w:sectPr w:rsidR="002C6FC7">
          <w:headerReference w:type="even" r:id="rId7"/>
          <w:headerReference w:type="default" r:id="rId8"/>
          <w:footerReference w:type="even" r:id="rId9"/>
          <w:footerReference w:type="default" r:id="rId10"/>
          <w:headerReference w:type="first" r:id="rId11"/>
          <w:footerReference w:type="first" r:id="rId12"/>
          <w:type w:val="continuous"/>
          <w:pgSz w:w="11910" w:h="16840"/>
          <w:pgMar w:top="740" w:right="540" w:bottom="280" w:left="320" w:header="720" w:footer="720" w:gutter="0"/>
          <w:cols w:space="720"/>
          <w:noEndnote/>
        </w:sectPr>
      </w:pPr>
    </w:p>
    <w:p w14:paraId="2D4824C8" w14:textId="59FB024A" w:rsidR="00A206D9" w:rsidRPr="00A206D9" w:rsidRDefault="00A206D9" w:rsidP="00536AD0">
      <w:pPr>
        <w:pStyle w:val="BodyText"/>
        <w:kinsoku w:val="0"/>
        <w:overflowPunct w:val="0"/>
        <w:ind w:left="246"/>
        <w:jc w:val="both"/>
      </w:pPr>
      <w:r w:rsidRPr="00A206D9">
        <w:t xml:space="preserve">The Fund's objective is to </w:t>
      </w:r>
      <w:r w:rsidR="0040097C">
        <w:t>maximise capital growth by investment directly or indirectly in equities and equity-related securities.</w:t>
      </w:r>
    </w:p>
    <w:p w14:paraId="43B7D88F" w14:textId="77777777" w:rsidR="00A206D9" w:rsidRPr="00CA41AF" w:rsidRDefault="00A206D9" w:rsidP="00536AD0">
      <w:pPr>
        <w:pStyle w:val="BodyText"/>
        <w:kinsoku w:val="0"/>
        <w:overflowPunct w:val="0"/>
        <w:spacing w:before="1"/>
        <w:jc w:val="both"/>
        <w:rPr>
          <w:highlight w:val="yellow"/>
        </w:rPr>
      </w:pPr>
    </w:p>
    <w:p w14:paraId="3130146A" w14:textId="40850FAE" w:rsidR="0040097C" w:rsidRDefault="00D95D2B" w:rsidP="00536AD0">
      <w:pPr>
        <w:ind w:left="246"/>
        <w:jc w:val="both"/>
        <w:rPr>
          <w:sz w:val="16"/>
          <w:szCs w:val="16"/>
        </w:rPr>
      </w:pPr>
      <w:r w:rsidRPr="00CA41AF">
        <w:rPr>
          <w:sz w:val="16"/>
          <w:szCs w:val="16"/>
        </w:rPr>
        <w:t xml:space="preserve">The Fund aims to achieve its objective by investing in </w:t>
      </w:r>
      <w:r w:rsidR="0040097C">
        <w:rPr>
          <w:sz w:val="16"/>
          <w:szCs w:val="16"/>
        </w:rPr>
        <w:t>global equity and equity-related securities</w:t>
      </w:r>
      <w:r w:rsidR="0043200F">
        <w:rPr>
          <w:sz w:val="16"/>
          <w:szCs w:val="16"/>
        </w:rPr>
        <w:t xml:space="preserve">. The Fund will gain exposure </w:t>
      </w:r>
      <w:r w:rsidR="0040097C">
        <w:rPr>
          <w:sz w:val="16"/>
          <w:szCs w:val="16"/>
        </w:rPr>
        <w:t>primarily through direct investment in securities of such companies</w:t>
      </w:r>
      <w:r w:rsidR="0043200F">
        <w:rPr>
          <w:sz w:val="16"/>
          <w:szCs w:val="16"/>
        </w:rPr>
        <w:t xml:space="preserve"> but may </w:t>
      </w:r>
      <w:r w:rsidR="0040097C">
        <w:rPr>
          <w:sz w:val="16"/>
          <w:szCs w:val="16"/>
        </w:rPr>
        <w:t xml:space="preserve">also invest indirectly in such securities </w:t>
      </w:r>
      <w:r w:rsidR="0043200F">
        <w:rPr>
          <w:sz w:val="16"/>
          <w:szCs w:val="16"/>
        </w:rPr>
        <w:t xml:space="preserve">by investing (up to 10% of net assets) in </w:t>
      </w:r>
      <w:r w:rsidR="0040097C">
        <w:rPr>
          <w:sz w:val="16"/>
          <w:szCs w:val="16"/>
        </w:rPr>
        <w:t>collective investment schemes.</w:t>
      </w:r>
    </w:p>
    <w:p w14:paraId="23A7430A" w14:textId="77777777" w:rsidR="00D95D2B" w:rsidRPr="00CA41AF" w:rsidRDefault="00D95D2B" w:rsidP="00536AD0">
      <w:pPr>
        <w:ind w:left="246"/>
        <w:jc w:val="both"/>
        <w:rPr>
          <w:sz w:val="16"/>
          <w:szCs w:val="16"/>
          <w:lang w:val="en-US" w:eastAsia="en-GB"/>
        </w:rPr>
      </w:pPr>
    </w:p>
    <w:p w14:paraId="1D4BB15C" w14:textId="5CD82D9C" w:rsidR="00D93300" w:rsidRPr="00A206D9" w:rsidRDefault="00D95D2B" w:rsidP="00536AD0">
      <w:pPr>
        <w:ind w:left="246"/>
        <w:jc w:val="both"/>
        <w:rPr>
          <w:sz w:val="16"/>
          <w:szCs w:val="16"/>
        </w:rPr>
      </w:pPr>
      <w:r w:rsidRPr="00CA41AF">
        <w:rPr>
          <w:sz w:val="16"/>
          <w:szCs w:val="16"/>
        </w:rPr>
        <w:t>The Fund may invest up to 100% of net assets in equities and equity-related securities comprising common stock, preferred stock, closed-ended investment trusts</w:t>
      </w:r>
      <w:r w:rsidR="00146BA5">
        <w:rPr>
          <w:sz w:val="16"/>
          <w:szCs w:val="16"/>
        </w:rPr>
        <w:t>, convertible bonds (excluding contingent convertible bonds)</w:t>
      </w:r>
      <w:r w:rsidRPr="00CA41AF">
        <w:rPr>
          <w:sz w:val="16"/>
          <w:szCs w:val="16"/>
        </w:rPr>
        <w:t xml:space="preserve"> and non</w:t>
      </w:r>
      <w:r w:rsidR="00CA41AF" w:rsidRPr="00CA41AF">
        <w:rPr>
          <w:sz w:val="16"/>
          <w:szCs w:val="16"/>
        </w:rPr>
        <w:t>-</w:t>
      </w:r>
      <w:r w:rsidRPr="00CA41AF">
        <w:rPr>
          <w:sz w:val="16"/>
          <w:szCs w:val="16"/>
        </w:rPr>
        <w:t>bespoke equity linked notes, which are</w:t>
      </w:r>
      <w:r w:rsidRPr="00A206D9">
        <w:rPr>
          <w:sz w:val="16"/>
          <w:szCs w:val="16"/>
        </w:rPr>
        <w:t xml:space="preserve"> listed or traded on Recognised Exchanges worldwide.</w:t>
      </w:r>
      <w:r w:rsidR="00901F72">
        <w:rPr>
          <w:sz w:val="16"/>
          <w:szCs w:val="16"/>
        </w:rPr>
        <w:t xml:space="preserve"> </w:t>
      </w:r>
      <w:r w:rsidRPr="00A206D9">
        <w:rPr>
          <w:sz w:val="16"/>
          <w:szCs w:val="16"/>
        </w:rPr>
        <w:t>The Fund may invest up to 20% of net assets in real estate investment trusts (REITS), which are a class of equity that invests in real property</w:t>
      </w:r>
      <w:r w:rsidR="0043200F">
        <w:rPr>
          <w:sz w:val="16"/>
          <w:szCs w:val="16"/>
        </w:rPr>
        <w:t>.</w:t>
      </w:r>
      <w:r w:rsidRPr="00A206D9">
        <w:rPr>
          <w:sz w:val="16"/>
          <w:szCs w:val="16"/>
        </w:rPr>
        <w:t xml:space="preserve"> </w:t>
      </w:r>
    </w:p>
    <w:p w14:paraId="57D1FA5E" w14:textId="77777777" w:rsidR="00D93300" w:rsidRPr="00A206D9" w:rsidRDefault="00D93300" w:rsidP="00536AD0">
      <w:pPr>
        <w:ind w:left="246"/>
        <w:jc w:val="both"/>
        <w:rPr>
          <w:sz w:val="16"/>
          <w:szCs w:val="16"/>
        </w:rPr>
      </w:pPr>
    </w:p>
    <w:p w14:paraId="6D6AB529" w14:textId="701434FE" w:rsidR="00CA41AF" w:rsidRDefault="00D95D2B" w:rsidP="00536AD0">
      <w:pPr>
        <w:ind w:left="246"/>
        <w:jc w:val="both"/>
        <w:rPr>
          <w:sz w:val="16"/>
          <w:szCs w:val="16"/>
        </w:rPr>
      </w:pPr>
      <w:r w:rsidRPr="00A206D9">
        <w:rPr>
          <w:sz w:val="16"/>
          <w:szCs w:val="16"/>
        </w:rPr>
        <w:t>The Fund may invest up to 2</w:t>
      </w:r>
      <w:r w:rsidR="000A122E">
        <w:rPr>
          <w:sz w:val="16"/>
          <w:szCs w:val="16"/>
        </w:rPr>
        <w:t>0</w:t>
      </w:r>
      <w:r w:rsidRPr="00A206D9">
        <w:rPr>
          <w:sz w:val="16"/>
          <w:szCs w:val="16"/>
        </w:rPr>
        <w:t xml:space="preserve">% of net assets in </w:t>
      </w:r>
      <w:r w:rsidR="000A122E">
        <w:rPr>
          <w:sz w:val="16"/>
          <w:szCs w:val="16"/>
        </w:rPr>
        <w:t xml:space="preserve">cash or ancillary liquid assets </w:t>
      </w:r>
      <w:r w:rsidR="003F5F5B">
        <w:rPr>
          <w:sz w:val="16"/>
          <w:szCs w:val="16"/>
        </w:rPr>
        <w:t xml:space="preserve">issued by governments or corporations comprising short term money market instruments, including, but not limited to, non-bespoke fixed or floating rate notes and fixed or variable commercial paper (which are considered investment grade or above as rated by the principal rating agencies), and other types of debt securities (such as fixed and floating rate bonds), which will be list on a Recognised Exchange, and cash equivalents such as certificates of deposit and cash deposits denominated in such currency or currencies as the Investment Manager shall determine. </w:t>
      </w:r>
      <w:r w:rsidRPr="00A206D9">
        <w:rPr>
          <w:sz w:val="16"/>
          <w:szCs w:val="16"/>
        </w:rPr>
        <w:t>Such debt securities will have</w:t>
      </w:r>
      <w:r w:rsidR="003F5F5B">
        <w:rPr>
          <w:sz w:val="16"/>
          <w:szCs w:val="16"/>
        </w:rPr>
        <w:t xml:space="preserve"> </w:t>
      </w:r>
      <w:r w:rsidRPr="00A206D9">
        <w:rPr>
          <w:sz w:val="16"/>
          <w:szCs w:val="16"/>
        </w:rPr>
        <w:t>a credit rating or an implied credit rating of “investment grade” at the time of investment</w:t>
      </w:r>
      <w:r w:rsidR="00D93300" w:rsidRPr="00A206D9">
        <w:rPr>
          <w:sz w:val="16"/>
          <w:szCs w:val="16"/>
        </w:rPr>
        <w:t>.</w:t>
      </w:r>
      <w:r w:rsidRPr="00A206D9">
        <w:rPr>
          <w:sz w:val="16"/>
          <w:szCs w:val="16"/>
        </w:rPr>
        <w:t xml:space="preserve">   </w:t>
      </w:r>
    </w:p>
    <w:p w14:paraId="00A4C499" w14:textId="77777777" w:rsidR="00CA41AF" w:rsidRDefault="00CA41AF" w:rsidP="00536AD0">
      <w:pPr>
        <w:ind w:left="246"/>
        <w:jc w:val="both"/>
        <w:rPr>
          <w:sz w:val="16"/>
          <w:szCs w:val="16"/>
        </w:rPr>
      </w:pPr>
    </w:p>
    <w:p w14:paraId="36AE0CA2" w14:textId="5241F12E" w:rsidR="00A206D9" w:rsidRDefault="00A206D9" w:rsidP="00536AD0">
      <w:pPr>
        <w:pStyle w:val="BodyText"/>
        <w:kinsoku w:val="0"/>
        <w:overflowPunct w:val="0"/>
        <w:ind w:left="246" w:right="250"/>
        <w:jc w:val="both"/>
        <w:rPr>
          <w:rFonts w:ascii="Times New Roman" w:hAnsi="Times New Roman" w:cs="Times New Roman"/>
        </w:rPr>
      </w:pPr>
      <w:r w:rsidRPr="00901F72">
        <w:t xml:space="preserve">The Fund may </w:t>
      </w:r>
      <w:r w:rsidR="00901F72" w:rsidRPr="00901F72">
        <w:t xml:space="preserve">hedge currency exposure arising from security </w:t>
      </w:r>
      <w:r w:rsidR="00901F72" w:rsidRPr="00901F72">
        <w:t>positions held by the Fund. The Fund may be exposed to all currencies (both OECD and non-OECD, including emerging markets), through both purchases and sales of securities.</w:t>
      </w:r>
    </w:p>
    <w:p w14:paraId="592CE366" w14:textId="77777777" w:rsidR="00A206D9" w:rsidRDefault="00A206D9" w:rsidP="00536AD0">
      <w:pPr>
        <w:ind w:left="246"/>
        <w:jc w:val="both"/>
        <w:rPr>
          <w:rFonts w:ascii="Times New Roman" w:hAnsi="Times New Roman" w:cs="Times New Roman"/>
          <w:sz w:val="16"/>
          <w:szCs w:val="16"/>
        </w:rPr>
      </w:pPr>
    </w:p>
    <w:p w14:paraId="13B9BE2D" w14:textId="4E276A7C" w:rsidR="002C6FC7" w:rsidRPr="00A206D9" w:rsidRDefault="004F75D9" w:rsidP="00536AD0">
      <w:pPr>
        <w:pStyle w:val="BodyText"/>
        <w:kinsoku w:val="0"/>
        <w:overflowPunct w:val="0"/>
        <w:ind w:left="246" w:right="250"/>
        <w:jc w:val="both"/>
      </w:pPr>
      <w:r w:rsidRPr="00A206D9">
        <w:t xml:space="preserve">Investments will have a global focus insofar as investments are not confined or concentrated in any </w:t>
      </w:r>
      <w:proofErr w:type="gramStart"/>
      <w:r w:rsidRPr="00A206D9">
        <w:t>particular geographic</w:t>
      </w:r>
      <w:proofErr w:type="gramEnd"/>
      <w:r w:rsidRPr="00A206D9">
        <w:t xml:space="preserve"> region or market.  </w:t>
      </w:r>
      <w:r w:rsidR="00AF00E7" w:rsidRPr="00A206D9">
        <w:t xml:space="preserve">The Fund may have exposures </w:t>
      </w:r>
      <w:proofErr w:type="gramStart"/>
      <w:r w:rsidR="00AF00E7" w:rsidRPr="00A206D9">
        <w:t>in excess of</w:t>
      </w:r>
      <w:proofErr w:type="gramEnd"/>
      <w:r w:rsidR="00AF00E7" w:rsidRPr="00A206D9">
        <w:t xml:space="preserve"> 30% of the Net Asset Value of the Fund in emerging markets.</w:t>
      </w:r>
    </w:p>
    <w:p w14:paraId="57C18C81" w14:textId="77777777" w:rsidR="00AF00E7" w:rsidRPr="00A206D9" w:rsidRDefault="00AF00E7" w:rsidP="00536AD0">
      <w:pPr>
        <w:pStyle w:val="BodyText"/>
        <w:kinsoku w:val="0"/>
        <w:overflowPunct w:val="0"/>
        <w:ind w:left="246" w:right="250"/>
        <w:jc w:val="both"/>
      </w:pPr>
    </w:p>
    <w:p w14:paraId="399F3A02" w14:textId="1BC0B777" w:rsidR="00EF6A96" w:rsidRDefault="00B52B49" w:rsidP="00536AD0">
      <w:pPr>
        <w:pStyle w:val="BodyText"/>
        <w:kinsoku w:val="0"/>
        <w:overflowPunct w:val="0"/>
        <w:ind w:left="246" w:right="250"/>
        <w:jc w:val="both"/>
      </w:pPr>
      <w:r w:rsidRPr="00A206D9">
        <w:t>The Fund's performance is measured against the</w:t>
      </w:r>
      <w:r w:rsidR="00FB2755" w:rsidRPr="00A206D9">
        <w:t xml:space="preserve"> MSCI ACWI </w:t>
      </w:r>
      <w:r w:rsidR="00DC3EAA" w:rsidRPr="00A206D9">
        <w:t xml:space="preserve">Index </w:t>
      </w:r>
      <w:r w:rsidR="00FB2755" w:rsidRPr="00A206D9">
        <w:t>(</w:t>
      </w:r>
      <w:r w:rsidR="00901F72">
        <w:t>USD</w:t>
      </w:r>
      <w:r w:rsidR="00FB2755" w:rsidRPr="00A206D9">
        <w:t xml:space="preserve">). </w:t>
      </w:r>
      <w:proofErr w:type="gramStart"/>
      <w:r w:rsidR="00FB2755" w:rsidRPr="00A206D9">
        <w:t>The  MSCI</w:t>
      </w:r>
      <w:proofErr w:type="gramEnd"/>
      <w:r w:rsidR="00FB2755" w:rsidRPr="00A206D9">
        <w:t xml:space="preserve">  (Morgan  Stanley  Capital   International) ACWI   (All </w:t>
      </w:r>
      <w:r w:rsidR="008C471A">
        <w:t xml:space="preserve">Countries   World   Index) is  a  </w:t>
      </w:r>
      <w:r w:rsidR="00FB2755" w:rsidRPr="00A206D9">
        <w:t>broad   global  equity i</w:t>
      </w:r>
      <w:r w:rsidR="008C471A">
        <w:t xml:space="preserve">ndex that represents large and </w:t>
      </w:r>
      <w:r w:rsidR="00FB2755" w:rsidRPr="00A206D9">
        <w:t>mid-cap  equity performance  across  all  23 developed and 2</w:t>
      </w:r>
      <w:r w:rsidR="00901F72">
        <w:t>5</w:t>
      </w:r>
      <w:r w:rsidR="00FB2755" w:rsidRPr="00A206D9">
        <w:t xml:space="preserve"> emerging markets.</w:t>
      </w:r>
      <w:r w:rsidR="00EF6A96">
        <w:t xml:space="preserve">  </w:t>
      </w:r>
    </w:p>
    <w:p w14:paraId="73A06D24" w14:textId="77777777" w:rsidR="00EF6A96" w:rsidRDefault="00EF6A96" w:rsidP="00536AD0">
      <w:pPr>
        <w:pStyle w:val="BodyText"/>
        <w:kinsoku w:val="0"/>
        <w:overflowPunct w:val="0"/>
        <w:ind w:left="246" w:right="250"/>
        <w:jc w:val="both"/>
      </w:pPr>
    </w:p>
    <w:p w14:paraId="67C0E2AF" w14:textId="2C813379" w:rsidR="002C6FC7" w:rsidRPr="00A206D9" w:rsidRDefault="00B52B49" w:rsidP="00536AD0">
      <w:pPr>
        <w:pStyle w:val="BodyText"/>
        <w:kinsoku w:val="0"/>
        <w:overflowPunct w:val="0"/>
        <w:ind w:left="246" w:right="250"/>
        <w:jc w:val="both"/>
      </w:pPr>
      <w:r w:rsidRPr="00A206D9">
        <w:t xml:space="preserve">This Fund is actively managed in reference to the </w:t>
      </w:r>
      <w:r w:rsidR="00FB2755" w:rsidRPr="00A206D9">
        <w:t>MSCI ACWI Index (</w:t>
      </w:r>
      <w:r w:rsidR="00901F72">
        <w:t>USD</w:t>
      </w:r>
      <w:r w:rsidR="00FB2755" w:rsidRPr="00A206D9">
        <w:t xml:space="preserve">) </w:t>
      </w:r>
      <w:proofErr w:type="gramStart"/>
      <w:r w:rsidRPr="00A206D9">
        <w:t xml:space="preserve">by virtue of the fact </w:t>
      </w:r>
      <w:r w:rsidR="003F5F5B">
        <w:t>that</w:t>
      </w:r>
      <w:proofErr w:type="gramEnd"/>
      <w:r w:rsidR="003F5F5B">
        <w:t xml:space="preserve"> is uses the Benchmark for performance comparison purposes. </w:t>
      </w:r>
    </w:p>
    <w:p w14:paraId="6DC538CD" w14:textId="77777777" w:rsidR="002C6FC7" w:rsidRPr="00A206D9" w:rsidRDefault="002C6FC7" w:rsidP="00536AD0">
      <w:pPr>
        <w:pStyle w:val="BodyText"/>
        <w:kinsoku w:val="0"/>
        <w:overflowPunct w:val="0"/>
        <w:spacing w:before="9"/>
        <w:jc w:val="both"/>
      </w:pPr>
    </w:p>
    <w:p w14:paraId="4220F986" w14:textId="77777777" w:rsidR="002C6FC7" w:rsidRPr="00A206D9" w:rsidRDefault="00B52B49" w:rsidP="00536AD0">
      <w:pPr>
        <w:pStyle w:val="BodyText"/>
        <w:kinsoku w:val="0"/>
        <w:overflowPunct w:val="0"/>
        <w:spacing w:before="1"/>
        <w:ind w:left="246" w:right="252"/>
        <w:jc w:val="both"/>
      </w:pPr>
      <w:r w:rsidRPr="00A206D9">
        <w:t>Any income arising from the Fund will be reinvested and it is not intended that the Fund will pay</w:t>
      </w:r>
      <w:r w:rsidRPr="00A206D9">
        <w:rPr>
          <w:spacing w:val="-2"/>
        </w:rPr>
        <w:t xml:space="preserve"> </w:t>
      </w:r>
      <w:r w:rsidRPr="00A206D9">
        <w:t>dividends.</w:t>
      </w:r>
    </w:p>
    <w:p w14:paraId="061156A3" w14:textId="77777777" w:rsidR="002C6FC7" w:rsidRPr="00A206D9" w:rsidRDefault="002C6FC7" w:rsidP="00536AD0">
      <w:pPr>
        <w:pStyle w:val="BodyText"/>
        <w:kinsoku w:val="0"/>
        <w:overflowPunct w:val="0"/>
        <w:spacing w:before="11"/>
        <w:jc w:val="both"/>
      </w:pPr>
    </w:p>
    <w:p w14:paraId="62354D3B" w14:textId="4B070E28" w:rsidR="002C6FC7" w:rsidRPr="00A206D9" w:rsidRDefault="00B52B49" w:rsidP="00536AD0">
      <w:pPr>
        <w:pStyle w:val="BodyText"/>
        <w:kinsoku w:val="0"/>
        <w:overflowPunct w:val="0"/>
        <w:ind w:left="246" w:right="250"/>
        <w:jc w:val="both"/>
        <w:rPr>
          <w:highlight w:val="yellow"/>
        </w:rPr>
      </w:pPr>
      <w:r w:rsidRPr="00A206D9">
        <w:t xml:space="preserve">You may buy and sell shares in the Fund on </w:t>
      </w:r>
      <w:r w:rsidR="004F75D9" w:rsidRPr="00A206D9">
        <w:t xml:space="preserve">any business day in Ireland and </w:t>
      </w:r>
      <w:r w:rsidRPr="00A206D9">
        <w:t>Cape Town, South</w:t>
      </w:r>
      <w:r w:rsidRPr="00A206D9">
        <w:rPr>
          <w:spacing w:val="-4"/>
        </w:rPr>
        <w:t xml:space="preserve"> </w:t>
      </w:r>
      <w:r w:rsidRPr="00A206D9">
        <w:t>Africa.</w:t>
      </w:r>
    </w:p>
    <w:p w14:paraId="31E0BC1B" w14:textId="77777777" w:rsidR="002C6FC7" w:rsidRPr="00A206D9" w:rsidRDefault="002C6FC7" w:rsidP="00536AD0">
      <w:pPr>
        <w:pStyle w:val="BodyText"/>
        <w:kinsoku w:val="0"/>
        <w:overflowPunct w:val="0"/>
        <w:jc w:val="both"/>
        <w:rPr>
          <w:highlight w:val="yellow"/>
        </w:rPr>
      </w:pPr>
    </w:p>
    <w:p w14:paraId="159D3253" w14:textId="239F5179" w:rsidR="002C6FC7" w:rsidRPr="00A206D9" w:rsidRDefault="00B52B49" w:rsidP="00536AD0">
      <w:pPr>
        <w:pStyle w:val="BodyText"/>
        <w:kinsoku w:val="0"/>
        <w:overflowPunct w:val="0"/>
        <w:ind w:left="246" w:right="250"/>
        <w:jc w:val="both"/>
        <w:sectPr w:rsidR="002C6FC7" w:rsidRPr="00A206D9">
          <w:type w:val="continuous"/>
          <w:pgSz w:w="11910" w:h="16840"/>
          <w:pgMar w:top="740" w:right="540" w:bottom="280" w:left="320" w:header="720" w:footer="720" w:gutter="0"/>
          <w:cols w:num="2" w:space="720" w:equalWidth="0">
            <w:col w:w="5308" w:space="219"/>
            <w:col w:w="5523"/>
          </w:cols>
          <w:noEndnote/>
        </w:sectPr>
      </w:pPr>
      <w:r w:rsidRPr="00A206D9">
        <w:t>Unless otherwise defined in this document, all words and expressions defined in the Company's current Prospectus shall have the same meaning herein. Please refer to the "Investment Objectives and Policies" section of the Prospectus and the "Investment Objective and Policy" section of the Sup</w:t>
      </w:r>
      <w:r w:rsidR="00EB4292" w:rsidRPr="00A206D9">
        <w:t>plement for further information.</w:t>
      </w:r>
    </w:p>
    <w:p w14:paraId="4AA05DD0" w14:textId="77777777" w:rsidR="002C6FC7" w:rsidRDefault="002C6FC7" w:rsidP="00A206D9">
      <w:pPr>
        <w:pStyle w:val="BodyText"/>
        <w:kinsoku w:val="0"/>
        <w:overflowPunct w:val="0"/>
        <w:spacing w:before="9"/>
        <w:rPr>
          <w:sz w:val="24"/>
          <w:szCs w:val="24"/>
        </w:rPr>
      </w:pPr>
    </w:p>
    <w:p w14:paraId="053BCF3B" w14:textId="77777777" w:rsidR="002C6FC7" w:rsidRDefault="00B52B49" w:rsidP="00A206D9">
      <w:pPr>
        <w:pStyle w:val="BodyText"/>
        <w:kinsoku w:val="0"/>
        <w:overflowPunct w:val="0"/>
        <w:ind w:left="241"/>
        <w:rPr>
          <w:sz w:val="20"/>
          <w:szCs w:val="20"/>
        </w:rPr>
      </w:pPr>
      <w:r>
        <w:rPr>
          <w:noProof/>
          <w:sz w:val="20"/>
          <w:szCs w:val="20"/>
        </w:rPr>
        <mc:AlternateContent>
          <mc:Choice Requires="wps">
            <w:drawing>
              <wp:inline distT="0" distB="0" distL="0" distR="0" wp14:anchorId="4DFA203E" wp14:editId="1755D674">
                <wp:extent cx="6735778" cy="162962"/>
                <wp:effectExtent l="0" t="0" r="27305" b="27940"/>
                <wp:docPr id="5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5778" cy="162962"/>
                        </a:xfrm>
                        <a:prstGeom prst="rect">
                          <a:avLst/>
                        </a:prstGeom>
                        <a:solidFill>
                          <a:srgbClr val="BEBEBE"/>
                        </a:solidFill>
                        <a:ln w="6108" cmpd="sng">
                          <a:solidFill>
                            <a:srgbClr val="000000"/>
                          </a:solidFill>
                          <a:miter lim="800000"/>
                          <a:headEnd/>
                          <a:tailEnd/>
                        </a:ln>
                      </wps:spPr>
                      <wps:txbx>
                        <w:txbxContent>
                          <w:p w14:paraId="15581A59" w14:textId="77777777" w:rsidR="002C6FC7" w:rsidRDefault="00B52B49">
                            <w:pPr>
                              <w:pStyle w:val="BodyText"/>
                              <w:kinsoku w:val="0"/>
                              <w:overflowPunct w:val="0"/>
                              <w:spacing w:before="18"/>
                              <w:ind w:left="50"/>
                              <w:rPr>
                                <w:b/>
                                <w:bCs/>
                                <w:sz w:val="18"/>
                                <w:szCs w:val="18"/>
                              </w:rPr>
                            </w:pPr>
                            <w:r>
                              <w:rPr>
                                <w:b/>
                                <w:bCs/>
                                <w:sz w:val="18"/>
                                <w:szCs w:val="18"/>
                              </w:rPr>
                              <w:t>Risk and Reward Profile of the Fund</w:t>
                            </w:r>
                          </w:p>
                        </w:txbxContent>
                      </wps:txbx>
                      <wps:bodyPr rot="0" vert="horz" wrap="square" lIns="0" tIns="0" rIns="0" bIns="0" anchor="t" anchorCtr="0" upright="1">
                        <a:noAutofit/>
                      </wps:bodyPr>
                    </wps:wsp>
                  </a:graphicData>
                </a:graphic>
              </wp:inline>
            </w:drawing>
          </mc:Choice>
          <mc:Fallback>
            <w:pict>
              <v:shape w14:anchorId="4DFA203E" id="Text Box 3" o:spid="_x0000_s1027" type="#_x0000_t202" style="width:530.4pt;height:1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" fillcolor="#bebebe" strokeweight=".16967mm">
                <v:textbox inset="0,0,0,0">
                  <w:txbxContent>
                    <w:p w14:paraId="15581A59" w14:textId="77777777" w:rsidR="002C6FC7" w:rsidRDefault="00B52B49">
                      <w:pPr>
                        <w:pStyle w:val="BodyText"/>
                        <w:kinsoku w:val="0"/>
                        <w:overflowPunct w:val="0"/>
                        <w:spacing w:before="18"/>
                        <w:ind w:left="50"/>
                        <w:rPr>
                          <w:b/>
                          <w:bCs/>
                          <w:sz w:val="18"/>
                          <w:szCs w:val="18"/>
                        </w:rPr>
                      </w:pPr>
                      <w:r>
                        <w:rPr>
                          <w:b/>
                          <w:bCs/>
                          <w:sz w:val="18"/>
                          <w:szCs w:val="18"/>
                        </w:rPr>
                        <w:t>Risk and Reward Profile of the Fund</w:t>
                      </w:r>
                    </w:p>
                  </w:txbxContent>
                </v:textbox>
                <w10:anchorlock/>
              </v:shape>
            </w:pict>
          </mc:Fallback>
        </mc:AlternateContent>
      </w:r>
    </w:p>
    <w:p w14:paraId="6289B5AA" w14:textId="77777777" w:rsidR="002C6FC7" w:rsidRDefault="002C6FC7" w:rsidP="00A206D9">
      <w:pPr>
        <w:pStyle w:val="BodyText"/>
        <w:kinsoku w:val="0"/>
        <w:overflowPunct w:val="0"/>
        <w:spacing w:before="9"/>
        <w:rPr>
          <w:sz w:val="7"/>
          <w:szCs w:val="7"/>
        </w:rPr>
      </w:pPr>
    </w:p>
    <w:p w14:paraId="580B338B" w14:textId="77777777" w:rsidR="002C6FC7" w:rsidRDefault="002C6FC7" w:rsidP="00A206D9">
      <w:pPr>
        <w:pStyle w:val="BodyText"/>
        <w:kinsoku w:val="0"/>
        <w:overflowPunct w:val="0"/>
        <w:spacing w:before="9"/>
        <w:rPr>
          <w:sz w:val="7"/>
          <w:szCs w:val="7"/>
        </w:rPr>
        <w:sectPr w:rsidR="002C6FC7">
          <w:type w:val="continuous"/>
          <w:pgSz w:w="11910" w:h="16840"/>
          <w:pgMar w:top="740" w:right="540" w:bottom="280" w:left="320" w:header="720" w:footer="720" w:gutter="0"/>
          <w:cols w:space="720" w:equalWidth="0">
            <w:col w:w="11050"/>
          </w:cols>
          <w:noEndnote/>
        </w:sectPr>
      </w:pPr>
    </w:p>
    <w:p w14:paraId="40C52DD8" w14:textId="77777777" w:rsidR="002C6FC7" w:rsidRDefault="002C6FC7" w:rsidP="00A206D9">
      <w:pPr>
        <w:pStyle w:val="BodyText"/>
        <w:kinsoku w:val="0"/>
        <w:overflowPunct w:val="0"/>
        <w:spacing w:before="3"/>
        <w:rPr>
          <w:sz w:val="22"/>
          <w:szCs w:val="22"/>
        </w:rPr>
      </w:pPr>
    </w:p>
    <w:p w14:paraId="677C82D8" w14:textId="77777777" w:rsidR="002C6FC7" w:rsidRDefault="00B52B49" w:rsidP="00A206D9">
      <w:pPr>
        <w:pStyle w:val="BodyText"/>
        <w:kinsoku w:val="0"/>
        <w:overflowPunct w:val="0"/>
        <w:ind w:left="522"/>
        <w:rPr>
          <w:sz w:val="20"/>
          <w:szCs w:val="20"/>
        </w:rPr>
      </w:pPr>
      <w:r>
        <w:rPr>
          <w:noProof/>
          <w:sz w:val="20"/>
          <w:szCs w:val="20"/>
        </w:rPr>
        <w:drawing>
          <wp:inline distT="0" distB="0" distL="0" distR="0" wp14:anchorId="7E69F67D" wp14:editId="422213C5">
            <wp:extent cx="2825750" cy="450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25750" cy="450850"/>
                    </a:xfrm>
                    <a:prstGeom prst="rect">
                      <a:avLst/>
                    </a:prstGeom>
                    <a:noFill/>
                    <a:ln>
                      <a:noFill/>
                    </a:ln>
                  </pic:spPr>
                </pic:pic>
              </a:graphicData>
            </a:graphic>
          </wp:inline>
        </w:drawing>
      </w:r>
    </w:p>
    <w:p w14:paraId="2EB48E55" w14:textId="77777777" w:rsidR="002C6FC7" w:rsidRDefault="002C6FC7" w:rsidP="00A206D9">
      <w:pPr>
        <w:pStyle w:val="BodyText"/>
        <w:kinsoku w:val="0"/>
        <w:overflowPunct w:val="0"/>
        <w:spacing w:before="3" w:after="1"/>
        <w:rPr>
          <w:sz w:val="18"/>
          <w:szCs w:val="18"/>
        </w:rPr>
      </w:pPr>
    </w:p>
    <w:tbl>
      <w:tblPr>
        <w:tblW w:w="0" w:type="auto"/>
        <w:tblInd w:w="252" w:type="dxa"/>
        <w:tblLayout w:type="fixed"/>
        <w:tblCellMar>
          <w:left w:w="0" w:type="dxa"/>
          <w:right w:w="0" w:type="dxa"/>
        </w:tblCellMar>
        <w:tblLook w:val="0000" w:firstRow="0" w:lastRow="0" w:firstColumn="0" w:lastColumn="0" w:noHBand="0" w:noVBand="0"/>
      </w:tblPr>
      <w:tblGrid>
        <w:gridCol w:w="713"/>
        <w:gridCol w:w="711"/>
        <w:gridCol w:w="713"/>
        <w:gridCol w:w="713"/>
        <w:gridCol w:w="713"/>
        <w:gridCol w:w="713"/>
        <w:gridCol w:w="713"/>
      </w:tblGrid>
      <w:tr w:rsidR="002C6FC7" w14:paraId="777458C5" w14:textId="77777777" w:rsidTr="006D6215">
        <w:trPr>
          <w:trHeight w:val="357"/>
        </w:trPr>
        <w:tc>
          <w:tcPr>
            <w:tcW w:w="713" w:type="dxa"/>
            <w:tcBorders>
              <w:top w:val="single" w:sz="4" w:space="0" w:color="000000"/>
              <w:left w:val="single" w:sz="4" w:space="0" w:color="000000"/>
              <w:bottom w:val="single" w:sz="4" w:space="0" w:color="000000"/>
              <w:right w:val="single" w:sz="4" w:space="0" w:color="000000"/>
            </w:tcBorders>
          </w:tcPr>
          <w:p w14:paraId="5FC52200" w14:textId="77777777" w:rsidR="002C6FC7" w:rsidRDefault="00B52B49" w:rsidP="00A206D9">
            <w:pPr>
              <w:pStyle w:val="TableParagraph"/>
              <w:kinsoku w:val="0"/>
              <w:overflowPunct w:val="0"/>
              <w:spacing w:before="52"/>
              <w:ind w:left="62"/>
              <w:jc w:val="center"/>
              <w:rPr>
                <w:color w:val="C0C0C0"/>
                <w:sz w:val="22"/>
                <w:szCs w:val="22"/>
              </w:rPr>
            </w:pPr>
            <w:r>
              <w:rPr>
                <w:color w:val="C0C0C0"/>
                <w:sz w:val="22"/>
                <w:szCs w:val="22"/>
              </w:rPr>
              <w:t>1</w:t>
            </w:r>
          </w:p>
        </w:tc>
        <w:tc>
          <w:tcPr>
            <w:tcW w:w="711" w:type="dxa"/>
            <w:tcBorders>
              <w:top w:val="single" w:sz="4" w:space="0" w:color="000000"/>
              <w:left w:val="single" w:sz="4" w:space="0" w:color="000000"/>
              <w:bottom w:val="single" w:sz="4" w:space="0" w:color="000000"/>
              <w:right w:val="single" w:sz="4" w:space="0" w:color="000000"/>
            </w:tcBorders>
          </w:tcPr>
          <w:p w14:paraId="28B65303" w14:textId="77777777" w:rsidR="002C6FC7" w:rsidRDefault="00B52B49" w:rsidP="00A206D9">
            <w:pPr>
              <w:pStyle w:val="TableParagraph"/>
              <w:kinsoku w:val="0"/>
              <w:overflowPunct w:val="0"/>
              <w:spacing w:before="52"/>
              <w:ind w:left="6"/>
              <w:jc w:val="center"/>
              <w:rPr>
                <w:color w:val="C0C0C0"/>
                <w:sz w:val="22"/>
                <w:szCs w:val="22"/>
              </w:rPr>
            </w:pPr>
            <w:r>
              <w:rPr>
                <w:color w:val="C0C0C0"/>
                <w:sz w:val="22"/>
                <w:szCs w:val="22"/>
              </w:rPr>
              <w:t>2</w:t>
            </w:r>
          </w:p>
        </w:tc>
        <w:tc>
          <w:tcPr>
            <w:tcW w:w="713" w:type="dxa"/>
            <w:tcBorders>
              <w:top w:val="single" w:sz="4" w:space="0" w:color="000000"/>
              <w:left w:val="single" w:sz="4" w:space="0" w:color="000000"/>
              <w:bottom w:val="single" w:sz="4" w:space="0" w:color="000000"/>
              <w:right w:val="single" w:sz="4" w:space="0" w:color="000000"/>
            </w:tcBorders>
          </w:tcPr>
          <w:p w14:paraId="759B5AFA" w14:textId="77777777" w:rsidR="002C6FC7" w:rsidRDefault="00B52B49" w:rsidP="00A206D9">
            <w:pPr>
              <w:pStyle w:val="TableParagraph"/>
              <w:kinsoku w:val="0"/>
              <w:overflowPunct w:val="0"/>
              <w:spacing w:before="52"/>
              <w:ind w:left="7"/>
              <w:jc w:val="center"/>
              <w:rPr>
                <w:color w:val="C0C0C0"/>
                <w:sz w:val="22"/>
                <w:szCs w:val="22"/>
              </w:rPr>
            </w:pPr>
            <w:r>
              <w:rPr>
                <w:color w:val="C0C0C0"/>
                <w:sz w:val="22"/>
                <w:szCs w:val="22"/>
              </w:rPr>
              <w:t>3</w:t>
            </w:r>
          </w:p>
        </w:tc>
        <w:tc>
          <w:tcPr>
            <w:tcW w:w="7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3FE0E32" w14:textId="77777777" w:rsidR="002C6FC7" w:rsidRDefault="00B52B49" w:rsidP="00A206D9">
            <w:pPr>
              <w:pStyle w:val="TableParagraph"/>
              <w:kinsoku w:val="0"/>
              <w:overflowPunct w:val="0"/>
              <w:spacing w:before="52"/>
              <w:ind w:left="2"/>
              <w:jc w:val="center"/>
              <w:rPr>
                <w:sz w:val="22"/>
                <w:szCs w:val="22"/>
              </w:rPr>
            </w:pPr>
            <w:r w:rsidRPr="00FB2755">
              <w:rPr>
                <w:color w:val="D0CECE" w:themeColor="background2" w:themeShade="E6"/>
                <w:sz w:val="22"/>
                <w:szCs w:val="22"/>
              </w:rPr>
              <w:t>4</w:t>
            </w:r>
          </w:p>
        </w:tc>
        <w:tc>
          <w:tcPr>
            <w:tcW w:w="71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4738B3A" w14:textId="77777777" w:rsidR="002C6FC7" w:rsidRPr="006D6215" w:rsidRDefault="00B52B49" w:rsidP="00A206D9">
            <w:pPr>
              <w:pStyle w:val="TableParagraph"/>
              <w:kinsoku w:val="0"/>
              <w:overflowPunct w:val="0"/>
              <w:spacing w:before="52"/>
              <w:ind w:left="2"/>
              <w:jc w:val="center"/>
              <w:rPr>
                <w:b/>
                <w:color w:val="C0C0C0"/>
                <w:sz w:val="22"/>
                <w:szCs w:val="22"/>
              </w:rPr>
            </w:pPr>
            <w:r w:rsidRPr="006D6215">
              <w:rPr>
                <w:b/>
                <w:sz w:val="22"/>
                <w:szCs w:val="22"/>
              </w:rPr>
              <w:t>5</w:t>
            </w:r>
          </w:p>
        </w:tc>
        <w:tc>
          <w:tcPr>
            <w:tcW w:w="713" w:type="dxa"/>
            <w:tcBorders>
              <w:top w:val="single" w:sz="4" w:space="0" w:color="000000"/>
              <w:left w:val="single" w:sz="4" w:space="0" w:color="000000"/>
              <w:bottom w:val="single" w:sz="4" w:space="0" w:color="000000"/>
              <w:right w:val="single" w:sz="4" w:space="0" w:color="000000"/>
            </w:tcBorders>
          </w:tcPr>
          <w:p w14:paraId="7FB0FB98" w14:textId="77777777" w:rsidR="002C6FC7" w:rsidRDefault="00B52B49" w:rsidP="00A206D9">
            <w:pPr>
              <w:pStyle w:val="TableParagraph"/>
              <w:kinsoku w:val="0"/>
              <w:overflowPunct w:val="0"/>
              <w:spacing w:before="52"/>
              <w:ind w:left="2"/>
              <w:jc w:val="center"/>
              <w:rPr>
                <w:color w:val="C0C0C0"/>
                <w:sz w:val="22"/>
                <w:szCs w:val="22"/>
              </w:rPr>
            </w:pPr>
            <w:r>
              <w:rPr>
                <w:color w:val="C0C0C0"/>
                <w:sz w:val="22"/>
                <w:szCs w:val="22"/>
              </w:rPr>
              <w:t>6</w:t>
            </w:r>
          </w:p>
        </w:tc>
        <w:tc>
          <w:tcPr>
            <w:tcW w:w="713" w:type="dxa"/>
            <w:tcBorders>
              <w:top w:val="single" w:sz="4" w:space="0" w:color="000000"/>
              <w:left w:val="single" w:sz="4" w:space="0" w:color="000000"/>
              <w:bottom w:val="single" w:sz="4" w:space="0" w:color="000000"/>
              <w:right w:val="single" w:sz="4" w:space="0" w:color="000000"/>
            </w:tcBorders>
          </w:tcPr>
          <w:p w14:paraId="43B0FA05" w14:textId="77777777" w:rsidR="002C6FC7" w:rsidRDefault="00B52B49" w:rsidP="00A206D9">
            <w:pPr>
              <w:pStyle w:val="TableParagraph"/>
              <w:kinsoku w:val="0"/>
              <w:overflowPunct w:val="0"/>
              <w:spacing w:before="52"/>
              <w:ind w:left="1"/>
              <w:jc w:val="center"/>
              <w:rPr>
                <w:color w:val="C0C0C0"/>
                <w:sz w:val="22"/>
                <w:szCs w:val="22"/>
              </w:rPr>
            </w:pPr>
            <w:r>
              <w:rPr>
                <w:color w:val="C0C0C0"/>
                <w:sz w:val="22"/>
                <w:szCs w:val="22"/>
              </w:rPr>
              <w:t>7</w:t>
            </w:r>
          </w:p>
        </w:tc>
      </w:tr>
    </w:tbl>
    <w:p w14:paraId="457E7E4B" w14:textId="77777777" w:rsidR="002C6FC7" w:rsidRDefault="002C6FC7" w:rsidP="00A206D9">
      <w:pPr>
        <w:pStyle w:val="BodyText"/>
        <w:kinsoku w:val="0"/>
        <w:overflowPunct w:val="0"/>
        <w:spacing w:before="1"/>
      </w:pPr>
    </w:p>
    <w:p w14:paraId="42227E31" w14:textId="39CA5481" w:rsidR="00536AD0" w:rsidRDefault="00536AD0" w:rsidP="00536AD0">
      <w:pPr>
        <w:spacing w:line="100" w:lineRule="atLeast"/>
        <w:ind w:left="301"/>
        <w:jc w:val="both"/>
        <w:rPr>
          <w:rFonts w:cstheme="minorBidi"/>
          <w:sz w:val="16"/>
        </w:rPr>
      </w:pPr>
      <w:r>
        <w:rPr>
          <w:sz w:val="16"/>
        </w:rPr>
        <w:t xml:space="preserve">The risk indicator is determined using historical data or, where historical data is not available, using simulated historical data.  Historical data, such as is used in calculating the synthetic indicator, may not be a reliable indication of the future risk profile of the Fund. The risk category shown is not a target or a guarantee and may change over time. A category 1 fund is not risk </w:t>
      </w:r>
      <w:proofErr w:type="gramStart"/>
      <w:r>
        <w:rPr>
          <w:sz w:val="16"/>
        </w:rPr>
        <w:t>free,</w:t>
      </w:r>
      <w:proofErr w:type="gramEnd"/>
      <w:r>
        <w:rPr>
          <w:sz w:val="16"/>
        </w:rPr>
        <w:t xml:space="preserve"> the risk of loss is small but the chance of making gains may also be limited. With a category 7 fund, the risk of losing money is high but so also is the possibility of making gains. </w:t>
      </w:r>
      <w:r>
        <w:rPr>
          <w:b/>
          <w:sz w:val="16"/>
        </w:rPr>
        <w:t xml:space="preserve">The risk indicator for the Fund is set at </w:t>
      </w:r>
      <w:r w:rsidR="00031861">
        <w:rPr>
          <w:b/>
          <w:sz w:val="16"/>
        </w:rPr>
        <w:t>5</w:t>
      </w:r>
      <w:r>
        <w:rPr>
          <w:b/>
          <w:sz w:val="16"/>
        </w:rPr>
        <w:t xml:space="preserve"> as this reflects the market risk arising from proposed investments</w:t>
      </w:r>
      <w:r>
        <w:rPr>
          <w:sz w:val="16"/>
        </w:rPr>
        <w:t>.</w:t>
      </w:r>
    </w:p>
    <w:p w14:paraId="3969C838" w14:textId="15DBDB9F" w:rsidR="002C6FC7" w:rsidRDefault="00B52B49" w:rsidP="00536AD0">
      <w:pPr>
        <w:pStyle w:val="BodyText"/>
        <w:kinsoku w:val="0"/>
        <w:overflowPunct w:val="0"/>
        <w:spacing w:before="96"/>
        <w:ind w:left="301" w:right="249"/>
        <w:jc w:val="both"/>
        <w:rPr>
          <w:b/>
          <w:bCs/>
        </w:rPr>
      </w:pPr>
      <w:r>
        <w:rPr>
          <w:b/>
          <w:bCs/>
        </w:rPr>
        <w:t>In addition to the risk captured by the indicator, the overall Fund value may be considerably affected by:</w:t>
      </w:r>
    </w:p>
    <w:p w14:paraId="31395649" w14:textId="647C01F9" w:rsidR="00A15E79" w:rsidRDefault="00CB45BA" w:rsidP="00CB45BA">
      <w:pPr>
        <w:pStyle w:val="ListParagraph"/>
        <w:numPr>
          <w:ilvl w:val="0"/>
          <w:numId w:val="1"/>
        </w:numPr>
        <w:tabs>
          <w:tab w:val="left" w:pos="660"/>
        </w:tabs>
        <w:kinsoku w:val="0"/>
        <w:overflowPunct w:val="0"/>
        <w:rPr>
          <w:sz w:val="16"/>
          <w:szCs w:val="16"/>
        </w:rPr>
      </w:pPr>
      <w:r w:rsidRPr="00CB45BA">
        <w:rPr>
          <w:b/>
          <w:sz w:val="16"/>
          <w:szCs w:val="16"/>
        </w:rPr>
        <w:t>Derivatives</w:t>
      </w:r>
      <w:r w:rsidR="00A15E79">
        <w:rPr>
          <w:sz w:val="16"/>
          <w:szCs w:val="16"/>
        </w:rPr>
        <w:t xml:space="preserve"> –</w:t>
      </w:r>
      <w:r w:rsidR="00F14BA9">
        <w:rPr>
          <w:sz w:val="16"/>
          <w:szCs w:val="16"/>
        </w:rPr>
        <w:t xml:space="preserve"> T</w:t>
      </w:r>
      <w:r w:rsidR="00A15E79">
        <w:rPr>
          <w:sz w:val="16"/>
          <w:szCs w:val="16"/>
        </w:rPr>
        <w:t>he use of derivatives could increase the overall risk by magnifying the effect of both gains and losses in the Fund. As such, large changes in value and potentially large financial losses could result.</w:t>
      </w:r>
    </w:p>
    <w:p w14:paraId="17A1D9F3" w14:textId="46DAB4FC" w:rsidR="00A15E79" w:rsidRDefault="00A15E79" w:rsidP="00CB45BA">
      <w:pPr>
        <w:pStyle w:val="ListParagraph"/>
        <w:numPr>
          <w:ilvl w:val="0"/>
          <w:numId w:val="1"/>
        </w:numPr>
        <w:tabs>
          <w:tab w:val="left" w:pos="660"/>
        </w:tabs>
        <w:kinsoku w:val="0"/>
        <w:overflowPunct w:val="0"/>
        <w:rPr>
          <w:sz w:val="16"/>
          <w:szCs w:val="16"/>
        </w:rPr>
      </w:pPr>
      <w:r w:rsidRPr="00CB45BA">
        <w:rPr>
          <w:b/>
          <w:sz w:val="16"/>
          <w:szCs w:val="16"/>
        </w:rPr>
        <w:t>Foreign Investment</w:t>
      </w:r>
      <w:r>
        <w:rPr>
          <w:sz w:val="16"/>
          <w:szCs w:val="16"/>
        </w:rPr>
        <w:t xml:space="preserve"> </w:t>
      </w:r>
      <w:r w:rsidR="00CB45BA">
        <w:rPr>
          <w:sz w:val="16"/>
          <w:szCs w:val="16"/>
        </w:rPr>
        <w:t>–</w:t>
      </w:r>
      <w:r w:rsidR="00F14BA9">
        <w:rPr>
          <w:sz w:val="16"/>
          <w:szCs w:val="16"/>
        </w:rPr>
        <w:t xml:space="preserve"> F</w:t>
      </w:r>
      <w:r w:rsidR="00CB45BA">
        <w:rPr>
          <w:sz w:val="16"/>
          <w:szCs w:val="16"/>
        </w:rPr>
        <w:t xml:space="preserve">oreign </w:t>
      </w:r>
      <w:r w:rsidR="00CB45BA" w:rsidRPr="00CB45BA">
        <w:rPr>
          <w:sz w:val="16"/>
          <w:szCs w:val="16"/>
        </w:rPr>
        <w:t xml:space="preserve">securities investments may be subject to risks pertaining to overseas jurisdictions and markets, including (but not limited to) local liquidity, macroeconomic, political, tax, settlement risks and currency </w:t>
      </w:r>
      <w:r w:rsidR="00CB45BA" w:rsidRPr="00CB45BA">
        <w:rPr>
          <w:sz w:val="16"/>
          <w:szCs w:val="16"/>
        </w:rPr>
        <w:t>fluctuations.</w:t>
      </w:r>
    </w:p>
    <w:p w14:paraId="6841C052" w14:textId="1A197E3B" w:rsidR="00CB45BA" w:rsidRPr="00CB45BA" w:rsidRDefault="00CB45BA" w:rsidP="00CB45BA">
      <w:pPr>
        <w:pStyle w:val="ListParagraph"/>
        <w:numPr>
          <w:ilvl w:val="0"/>
          <w:numId w:val="1"/>
        </w:numPr>
        <w:tabs>
          <w:tab w:val="left" w:pos="660"/>
        </w:tabs>
        <w:kinsoku w:val="0"/>
        <w:overflowPunct w:val="0"/>
        <w:rPr>
          <w:sz w:val="16"/>
          <w:szCs w:val="16"/>
        </w:rPr>
      </w:pPr>
      <w:r w:rsidRPr="00CB45BA">
        <w:rPr>
          <w:b/>
          <w:sz w:val="16"/>
          <w:szCs w:val="16"/>
        </w:rPr>
        <w:t>Property</w:t>
      </w:r>
      <w:r>
        <w:rPr>
          <w:sz w:val="16"/>
          <w:szCs w:val="16"/>
        </w:rPr>
        <w:t xml:space="preserve"> - </w:t>
      </w:r>
      <w:r w:rsidRPr="00CB45BA">
        <w:rPr>
          <w:sz w:val="16"/>
          <w:szCs w:val="16"/>
        </w:rPr>
        <w:t xml:space="preserve">Investments in real estate securities can carry the same risks as investing directly in real estate itself. Real estate prices move in response to a variety of factors, including local, </w:t>
      </w:r>
      <w:proofErr w:type="gramStart"/>
      <w:r w:rsidRPr="00CB45BA">
        <w:rPr>
          <w:sz w:val="16"/>
          <w:szCs w:val="16"/>
        </w:rPr>
        <w:t>regional</w:t>
      </w:r>
      <w:proofErr w:type="gramEnd"/>
      <w:r w:rsidRPr="00CB45BA">
        <w:rPr>
          <w:sz w:val="16"/>
          <w:szCs w:val="16"/>
        </w:rPr>
        <w:t xml:space="preserve"> and national economic and political conditions, interest rates and tax considerations.</w:t>
      </w:r>
    </w:p>
    <w:p w14:paraId="57C4C8E9" w14:textId="77777777" w:rsidR="00CB45BA" w:rsidRPr="00CB45BA" w:rsidRDefault="00CB45BA" w:rsidP="00CB45BA">
      <w:pPr>
        <w:pStyle w:val="ListParagraph"/>
        <w:numPr>
          <w:ilvl w:val="0"/>
          <w:numId w:val="1"/>
        </w:numPr>
        <w:tabs>
          <w:tab w:val="left" w:pos="660"/>
        </w:tabs>
        <w:kinsoku w:val="0"/>
        <w:overflowPunct w:val="0"/>
        <w:rPr>
          <w:sz w:val="16"/>
          <w:szCs w:val="16"/>
        </w:rPr>
      </w:pPr>
      <w:r w:rsidRPr="00CB45BA">
        <w:rPr>
          <w:b/>
          <w:sz w:val="16"/>
          <w:szCs w:val="16"/>
        </w:rPr>
        <w:t>Currency Exchange</w:t>
      </w:r>
      <w:r>
        <w:rPr>
          <w:sz w:val="16"/>
          <w:szCs w:val="16"/>
        </w:rPr>
        <w:t xml:space="preserve"> - </w:t>
      </w:r>
      <w:r w:rsidRPr="00CB45BA">
        <w:rPr>
          <w:sz w:val="16"/>
          <w:szCs w:val="16"/>
        </w:rPr>
        <w:t>Changes in the relative values of individual currencies may adversely affect the value of investments and any related income.</w:t>
      </w:r>
    </w:p>
    <w:p w14:paraId="25488753" w14:textId="77777777" w:rsidR="00CB45BA" w:rsidRPr="00CB45BA" w:rsidRDefault="00CB45BA" w:rsidP="00CB45BA">
      <w:pPr>
        <w:pStyle w:val="ListParagraph"/>
        <w:numPr>
          <w:ilvl w:val="0"/>
          <w:numId w:val="1"/>
        </w:numPr>
        <w:tabs>
          <w:tab w:val="left" w:pos="660"/>
        </w:tabs>
        <w:kinsoku w:val="0"/>
        <w:overflowPunct w:val="0"/>
        <w:rPr>
          <w:sz w:val="16"/>
          <w:szCs w:val="16"/>
        </w:rPr>
      </w:pPr>
      <w:r w:rsidRPr="00CB45BA">
        <w:rPr>
          <w:b/>
          <w:sz w:val="16"/>
          <w:szCs w:val="16"/>
        </w:rPr>
        <w:t>Geographic / Sector</w:t>
      </w:r>
      <w:r>
        <w:rPr>
          <w:sz w:val="16"/>
          <w:szCs w:val="16"/>
        </w:rPr>
        <w:t xml:space="preserve"> - </w:t>
      </w:r>
      <w:r w:rsidRPr="00CB45BA">
        <w:rPr>
          <w:sz w:val="16"/>
          <w:szCs w:val="16"/>
        </w:rPr>
        <w:t>For investments primarily concentrated in specific countries, geographic regions and/or industry sectors, their resulting value may decrease whilst portfolios more broadly invested might grow.</w:t>
      </w:r>
    </w:p>
    <w:p w14:paraId="5625FD56" w14:textId="77777777" w:rsidR="00CB45BA" w:rsidRPr="00CB45BA" w:rsidRDefault="00CB45BA" w:rsidP="00CB45BA">
      <w:pPr>
        <w:pStyle w:val="ListParagraph"/>
        <w:numPr>
          <w:ilvl w:val="0"/>
          <w:numId w:val="1"/>
        </w:numPr>
        <w:tabs>
          <w:tab w:val="left" w:pos="660"/>
        </w:tabs>
        <w:kinsoku w:val="0"/>
        <w:overflowPunct w:val="0"/>
        <w:rPr>
          <w:sz w:val="16"/>
          <w:szCs w:val="16"/>
        </w:rPr>
      </w:pPr>
      <w:r w:rsidRPr="00CB45BA">
        <w:rPr>
          <w:b/>
          <w:sz w:val="16"/>
          <w:szCs w:val="16"/>
        </w:rPr>
        <w:t>Equity Investment</w:t>
      </w:r>
      <w:r>
        <w:rPr>
          <w:sz w:val="16"/>
          <w:szCs w:val="16"/>
        </w:rPr>
        <w:t xml:space="preserve"> - </w:t>
      </w:r>
      <w:r w:rsidRPr="00CB45BA">
        <w:rPr>
          <w:sz w:val="16"/>
          <w:szCs w:val="16"/>
        </w:rPr>
        <w:t>Value of equities (</w:t>
      </w:r>
      <w:proofErr w:type="gramStart"/>
      <w:r w:rsidRPr="00CB45BA">
        <w:rPr>
          <w:sz w:val="16"/>
          <w:szCs w:val="16"/>
        </w:rPr>
        <w:t>e.g.</w:t>
      </w:r>
      <w:proofErr w:type="gramEnd"/>
      <w:r w:rsidRPr="00CB45BA">
        <w:rPr>
          <w:sz w:val="16"/>
          <w:szCs w:val="16"/>
        </w:rPr>
        <w:t xml:space="preserve"> shares) and equity-related investments may vary according to company profits and future prospects as well as more general market factors. In the event of a company default (</w:t>
      </w:r>
      <w:proofErr w:type="gramStart"/>
      <w:r w:rsidRPr="00CB45BA">
        <w:rPr>
          <w:sz w:val="16"/>
          <w:szCs w:val="16"/>
        </w:rPr>
        <w:t>e.g.</w:t>
      </w:r>
      <w:proofErr w:type="gramEnd"/>
      <w:r w:rsidRPr="00CB45BA">
        <w:rPr>
          <w:sz w:val="16"/>
          <w:szCs w:val="16"/>
        </w:rPr>
        <w:t xml:space="preserve"> bankruptcy), the owners of their equity rank last in terms of any financial payment from that company.</w:t>
      </w:r>
    </w:p>
    <w:p w14:paraId="7EA077AA" w14:textId="77777777" w:rsidR="003E309F" w:rsidRPr="00CB45BA" w:rsidRDefault="003E309F" w:rsidP="00CB45BA">
      <w:pPr>
        <w:pStyle w:val="ListParagraph"/>
        <w:numPr>
          <w:ilvl w:val="0"/>
          <w:numId w:val="1"/>
        </w:numPr>
        <w:tabs>
          <w:tab w:val="left" w:pos="660"/>
        </w:tabs>
        <w:kinsoku w:val="0"/>
        <w:overflowPunct w:val="0"/>
        <w:rPr>
          <w:b/>
          <w:sz w:val="16"/>
          <w:szCs w:val="16"/>
        </w:rPr>
      </w:pPr>
      <w:r w:rsidRPr="00CB45BA">
        <w:rPr>
          <w:b/>
          <w:sz w:val="16"/>
          <w:szCs w:val="16"/>
        </w:rPr>
        <w:t xml:space="preserve">Emerging Market Risk – </w:t>
      </w:r>
      <w:r w:rsidRPr="00CB45BA">
        <w:rPr>
          <w:sz w:val="16"/>
          <w:szCs w:val="16"/>
        </w:rPr>
        <w:t xml:space="preserve">Investing in emerging market securities involves a higher degree of risk. Such risks may include but are not limited to political, </w:t>
      </w:r>
      <w:proofErr w:type="gramStart"/>
      <w:r w:rsidRPr="00CB45BA">
        <w:rPr>
          <w:sz w:val="16"/>
          <w:szCs w:val="16"/>
        </w:rPr>
        <w:t>economic</w:t>
      </w:r>
      <w:proofErr w:type="gramEnd"/>
      <w:r w:rsidRPr="00CB45BA">
        <w:rPr>
          <w:sz w:val="16"/>
          <w:szCs w:val="16"/>
        </w:rPr>
        <w:t xml:space="preserve"> and social instability, small market sizes with limited liquidity and less developed legal structures.</w:t>
      </w:r>
    </w:p>
    <w:p w14:paraId="1A3D81BA" w14:textId="77777777" w:rsidR="003E309F" w:rsidRPr="00D55058" w:rsidRDefault="003E309F" w:rsidP="00CB45BA">
      <w:pPr>
        <w:ind w:left="301"/>
      </w:pPr>
    </w:p>
    <w:p w14:paraId="7153B8BE" w14:textId="77777777" w:rsidR="002C6FC7" w:rsidRDefault="00B52B49" w:rsidP="00CB45BA">
      <w:pPr>
        <w:pStyle w:val="BodyText"/>
        <w:kinsoku w:val="0"/>
        <w:overflowPunct w:val="0"/>
        <w:ind w:left="301" w:right="251"/>
        <w:jc w:val="both"/>
      </w:pPr>
      <w:r>
        <w:t xml:space="preserve">Please refer to the "Risk Factors" section of the Prospectus </w:t>
      </w:r>
      <w:r w:rsidR="00DC3EAA">
        <w:t xml:space="preserve">and the Supplement </w:t>
      </w:r>
      <w:r>
        <w:t>for further information - see under "Practical Information" for how to obtain a copy.</w:t>
      </w:r>
    </w:p>
    <w:p w14:paraId="33E349F5" w14:textId="77777777" w:rsidR="002C6FC7" w:rsidRDefault="002C6FC7">
      <w:pPr>
        <w:pStyle w:val="BodyText"/>
        <w:kinsoku w:val="0"/>
        <w:overflowPunct w:val="0"/>
        <w:spacing w:before="56"/>
        <w:ind w:left="301" w:right="251"/>
        <w:jc w:val="both"/>
        <w:sectPr w:rsidR="002C6FC7">
          <w:type w:val="continuous"/>
          <w:pgSz w:w="11910" w:h="16840"/>
          <w:pgMar w:top="740" w:right="540" w:bottom="280" w:left="320" w:header="720" w:footer="720" w:gutter="0"/>
          <w:cols w:num="2" w:space="720" w:equalWidth="0">
            <w:col w:w="5176" w:space="296"/>
            <w:col w:w="5578"/>
          </w:cols>
          <w:noEndnote/>
        </w:sectPr>
      </w:pPr>
    </w:p>
    <w:p w14:paraId="31991C70" w14:textId="77777777" w:rsidR="002C6FC7" w:rsidRDefault="00B52B49">
      <w:pPr>
        <w:pStyle w:val="BodyText"/>
        <w:kinsoku w:val="0"/>
        <w:overflowPunct w:val="0"/>
        <w:ind w:left="241"/>
        <w:rPr>
          <w:sz w:val="20"/>
          <w:szCs w:val="20"/>
        </w:rPr>
      </w:pPr>
      <w:r>
        <w:rPr>
          <w:noProof/>
          <w:sz w:val="20"/>
          <w:szCs w:val="20"/>
        </w:rPr>
        <w:lastRenderedPageBreak/>
        <mc:AlternateContent>
          <mc:Choice Requires="wps">
            <w:drawing>
              <wp:inline distT="0" distB="0" distL="0" distR="0" wp14:anchorId="305D37DF" wp14:editId="03352E8C">
                <wp:extent cx="6695440" cy="161925"/>
                <wp:effectExtent l="10160" t="12700" r="5715" b="10160"/>
                <wp:docPr id="5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225" cy="129540"/>
                        </a:xfrm>
                        <a:prstGeom prst="rect">
                          <a:avLst/>
                        </a:prstGeom>
                        <a:solidFill>
                          <a:srgbClr val="BEBEBE"/>
                        </a:solidFill>
                        <a:ln w="6108" cmpd="sng">
                          <a:solidFill>
                            <a:srgbClr val="000000"/>
                          </a:solidFill>
                          <a:miter lim="800000"/>
                          <a:headEnd/>
                          <a:tailEnd/>
                        </a:ln>
                      </wps:spPr>
                      <wps:txbx>
                        <w:txbxContent>
                          <w:p w14:paraId="0424A813" w14:textId="77777777" w:rsidR="002C6FC7" w:rsidRDefault="00B52B49">
                            <w:pPr>
                              <w:pStyle w:val="BodyText"/>
                              <w:kinsoku w:val="0"/>
                              <w:overflowPunct w:val="0"/>
                              <w:spacing w:before="18"/>
                              <w:ind w:left="50"/>
                              <w:rPr>
                                <w:b/>
                                <w:bCs/>
                                <w:sz w:val="18"/>
                                <w:szCs w:val="18"/>
                              </w:rPr>
                            </w:pPr>
                            <w:r>
                              <w:rPr>
                                <w:b/>
                                <w:bCs/>
                                <w:sz w:val="18"/>
                                <w:szCs w:val="18"/>
                              </w:rPr>
                              <w:t>Charges for the Fund</w:t>
                            </w:r>
                          </w:p>
                        </w:txbxContent>
                      </wps:txbx>
                      <wps:bodyPr rot="0" vert="horz" wrap="square" lIns="0" tIns="0" rIns="0" bIns="0" anchor="t" anchorCtr="0" upright="1">
                        <a:noAutofit/>
                      </wps:bodyPr>
                    </wps:wsp>
                  </a:graphicData>
                </a:graphic>
              </wp:inline>
            </w:drawing>
          </mc:Choice>
          <mc:Fallback>
            <w:pict>
              <v:shape w14:anchorId="305D37DF" id="Text Box 4" o:spid="_x0000_s1028" type="#_x0000_t202" style="width:527.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" fillcolor="#bebebe" strokeweight=".16967mm">
                <v:textbox inset="0,0,0,0">
                  <w:txbxContent>
                    <w:p w14:paraId="0424A813" w14:textId="77777777" w:rsidR="002C6FC7" w:rsidRDefault="00B52B49">
                      <w:pPr>
                        <w:pStyle w:val="BodyText"/>
                        <w:kinsoku w:val="0"/>
                        <w:overflowPunct w:val="0"/>
                        <w:spacing w:before="18"/>
                        <w:ind w:left="50"/>
                        <w:rPr>
                          <w:b/>
                          <w:bCs/>
                          <w:sz w:val="18"/>
                          <w:szCs w:val="18"/>
                        </w:rPr>
                      </w:pPr>
                      <w:r>
                        <w:rPr>
                          <w:b/>
                          <w:bCs/>
                          <w:sz w:val="18"/>
                          <w:szCs w:val="18"/>
                        </w:rPr>
                        <w:t>Charges for the Fund</w:t>
                      </w:r>
                    </w:p>
                  </w:txbxContent>
                </v:textbox>
                <w10:anchorlock/>
              </v:shape>
            </w:pict>
          </mc:Fallback>
        </mc:AlternateContent>
      </w:r>
    </w:p>
    <w:p w14:paraId="59E4C5C2" w14:textId="77777777" w:rsidR="002C6FC7" w:rsidRDefault="002C6FC7">
      <w:pPr>
        <w:pStyle w:val="BodyText"/>
        <w:kinsoku w:val="0"/>
        <w:overflowPunct w:val="0"/>
        <w:rPr>
          <w:sz w:val="7"/>
          <w:szCs w:val="7"/>
        </w:rPr>
      </w:pPr>
    </w:p>
    <w:p w14:paraId="388391D9" w14:textId="77777777" w:rsidR="002C6FC7" w:rsidRDefault="00B52B49">
      <w:pPr>
        <w:pStyle w:val="BodyText"/>
        <w:kinsoku w:val="0"/>
        <w:overflowPunct w:val="0"/>
        <w:spacing w:before="95"/>
        <w:ind w:left="301"/>
      </w:pPr>
      <w:r>
        <w:t>These charges are used to pay the costs of running the Fund, including the costs of marketing and distribution. These charges reduce the potential growth of your investment.</w:t>
      </w:r>
    </w:p>
    <w:p w14:paraId="2A7EFAAA" w14:textId="77777777" w:rsidR="002C6FC7" w:rsidRDefault="002C6FC7">
      <w:pPr>
        <w:pStyle w:val="BodyText"/>
        <w:kinsoku w:val="0"/>
        <w:overflowPunct w:val="0"/>
        <w:rPr>
          <w:sz w:val="18"/>
          <w:szCs w:val="18"/>
        </w:rPr>
      </w:pPr>
    </w:p>
    <w:p w14:paraId="64631483" w14:textId="424BAB7F" w:rsidR="002C6FC7" w:rsidRDefault="00B52B49">
      <w:pPr>
        <w:pStyle w:val="BodyText"/>
        <w:kinsoku w:val="0"/>
        <w:overflowPunct w:val="0"/>
        <w:spacing w:before="124"/>
        <w:ind w:left="5828" w:right="308"/>
        <w:jc w:val="both"/>
      </w:pPr>
      <w:r>
        <w:rPr>
          <w:noProof/>
        </w:rPr>
        <mc:AlternateContent>
          <mc:Choice Requires="wps">
            <w:drawing>
              <wp:anchor distT="0" distB="0" distL="114300" distR="114300" simplePos="0" relativeHeight="251658240" behindDoc="0" locked="0" layoutInCell="0" allowOverlap="1" wp14:anchorId="2A475DBE" wp14:editId="0EE4144D">
                <wp:simplePos x="0" y="0"/>
                <wp:positionH relativeFrom="page">
                  <wp:posOffset>359417</wp:posOffset>
                </wp:positionH>
                <wp:positionV relativeFrom="paragraph">
                  <wp:posOffset>77474</wp:posOffset>
                </wp:positionV>
                <wp:extent cx="3314040" cy="1797086"/>
                <wp:effectExtent l="0" t="0" r="1270" b="12700"/>
                <wp:wrapNone/>
                <wp:docPr id="5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040" cy="1797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667"/>
                              <w:gridCol w:w="3323"/>
                            </w:tblGrid>
                            <w:tr w:rsidR="002C6FC7" w14:paraId="6328C84F" w14:textId="77777777">
                              <w:trPr>
                                <w:trHeight w:val="203"/>
                              </w:trPr>
                              <w:tc>
                                <w:tcPr>
                                  <w:tcW w:w="4990" w:type="dxa"/>
                                  <w:gridSpan w:val="2"/>
                                  <w:tcBorders>
                                    <w:top w:val="single" w:sz="4" w:space="0" w:color="000000"/>
                                    <w:left w:val="single" w:sz="4" w:space="0" w:color="000000"/>
                                    <w:bottom w:val="none" w:sz="6" w:space="0" w:color="auto"/>
                                    <w:right w:val="single" w:sz="4" w:space="0" w:color="000000"/>
                                  </w:tcBorders>
                                </w:tcPr>
                                <w:p w14:paraId="664AEB11" w14:textId="77777777" w:rsidR="002C6FC7" w:rsidRDefault="00B52B49">
                                  <w:pPr>
                                    <w:pStyle w:val="TableParagraph"/>
                                    <w:kinsoku w:val="0"/>
                                    <w:overflowPunct w:val="0"/>
                                    <w:spacing w:before="1" w:line="182" w:lineRule="exact"/>
                                    <w:rPr>
                                      <w:b/>
                                      <w:bCs/>
                                      <w:sz w:val="16"/>
                                      <w:szCs w:val="16"/>
                                    </w:rPr>
                                  </w:pPr>
                                  <w:r>
                                    <w:rPr>
                                      <w:b/>
                                      <w:bCs/>
                                      <w:sz w:val="16"/>
                                      <w:szCs w:val="16"/>
                                    </w:rPr>
                                    <w:t>One-off charges taken before or after you invest</w:t>
                                  </w:r>
                                </w:p>
                              </w:tc>
                            </w:tr>
                            <w:tr w:rsidR="002C6FC7" w14:paraId="434DFD9A" w14:textId="77777777">
                              <w:trPr>
                                <w:trHeight w:val="242"/>
                              </w:trPr>
                              <w:tc>
                                <w:tcPr>
                                  <w:tcW w:w="1667" w:type="dxa"/>
                                  <w:tcBorders>
                                    <w:top w:val="none" w:sz="6" w:space="0" w:color="auto"/>
                                    <w:left w:val="single" w:sz="4" w:space="0" w:color="000000"/>
                                    <w:bottom w:val="none" w:sz="6" w:space="0" w:color="auto"/>
                                    <w:right w:val="none" w:sz="6" w:space="0" w:color="auto"/>
                                  </w:tcBorders>
                                </w:tcPr>
                                <w:p w14:paraId="2E997670" w14:textId="77777777" w:rsidR="002C6FC7" w:rsidRDefault="00B52B49">
                                  <w:pPr>
                                    <w:pStyle w:val="TableParagraph"/>
                                    <w:kinsoku w:val="0"/>
                                    <w:overflowPunct w:val="0"/>
                                    <w:spacing w:before="13"/>
                                    <w:rPr>
                                      <w:sz w:val="16"/>
                                      <w:szCs w:val="16"/>
                                    </w:rPr>
                                  </w:pPr>
                                  <w:r>
                                    <w:rPr>
                                      <w:sz w:val="16"/>
                                      <w:szCs w:val="16"/>
                                    </w:rPr>
                                    <w:t>Entry charge</w:t>
                                  </w:r>
                                </w:p>
                              </w:tc>
                              <w:tc>
                                <w:tcPr>
                                  <w:tcW w:w="3323" w:type="dxa"/>
                                  <w:tcBorders>
                                    <w:top w:val="none" w:sz="6" w:space="0" w:color="auto"/>
                                    <w:left w:val="none" w:sz="6" w:space="0" w:color="auto"/>
                                    <w:bottom w:val="none" w:sz="6" w:space="0" w:color="auto"/>
                                    <w:right w:val="single" w:sz="4" w:space="0" w:color="000000"/>
                                  </w:tcBorders>
                                </w:tcPr>
                                <w:p w14:paraId="50616434" w14:textId="0339B860" w:rsidR="002C6FC7" w:rsidRDefault="00FB0034">
                                  <w:pPr>
                                    <w:pStyle w:val="TableParagraph"/>
                                    <w:kinsoku w:val="0"/>
                                    <w:overflowPunct w:val="0"/>
                                    <w:spacing w:before="35"/>
                                    <w:ind w:left="377"/>
                                    <w:rPr>
                                      <w:sz w:val="16"/>
                                      <w:szCs w:val="16"/>
                                    </w:rPr>
                                  </w:pPr>
                                  <w:r>
                                    <w:rPr>
                                      <w:sz w:val="16"/>
                                      <w:szCs w:val="16"/>
                                    </w:rPr>
                                    <w:t xml:space="preserve"> </w:t>
                                  </w:r>
                                  <w:r w:rsidR="00891EE3">
                                    <w:rPr>
                                      <w:sz w:val="16"/>
                                      <w:szCs w:val="16"/>
                                    </w:rPr>
                                    <w:t>0</w:t>
                                  </w:r>
                                  <w:r w:rsidR="00863F77">
                                    <w:rPr>
                                      <w:sz w:val="16"/>
                                      <w:szCs w:val="16"/>
                                    </w:rPr>
                                    <w:t>.00</w:t>
                                  </w:r>
                                  <w:r w:rsidR="00B52B49">
                                    <w:rPr>
                                      <w:sz w:val="16"/>
                                      <w:szCs w:val="16"/>
                                    </w:rPr>
                                    <w:t>%</w:t>
                                  </w:r>
                                </w:p>
                              </w:tc>
                            </w:tr>
                            <w:tr w:rsidR="002C6FC7" w14:paraId="2D868C6F" w14:textId="77777777">
                              <w:trPr>
                                <w:trHeight w:val="327"/>
                              </w:trPr>
                              <w:tc>
                                <w:tcPr>
                                  <w:tcW w:w="1667" w:type="dxa"/>
                                  <w:tcBorders>
                                    <w:top w:val="none" w:sz="6" w:space="0" w:color="auto"/>
                                    <w:left w:val="single" w:sz="4" w:space="0" w:color="000000"/>
                                    <w:bottom w:val="none" w:sz="6" w:space="0" w:color="auto"/>
                                    <w:right w:val="none" w:sz="6" w:space="0" w:color="auto"/>
                                  </w:tcBorders>
                                </w:tcPr>
                                <w:p w14:paraId="2206C734" w14:textId="77777777" w:rsidR="002C6FC7" w:rsidRDefault="00B52B49">
                                  <w:pPr>
                                    <w:pStyle w:val="TableParagraph"/>
                                    <w:kinsoku w:val="0"/>
                                    <w:overflowPunct w:val="0"/>
                                    <w:spacing w:before="18"/>
                                    <w:rPr>
                                      <w:sz w:val="16"/>
                                      <w:szCs w:val="16"/>
                                    </w:rPr>
                                  </w:pPr>
                                  <w:r>
                                    <w:rPr>
                                      <w:sz w:val="16"/>
                                      <w:szCs w:val="16"/>
                                    </w:rPr>
                                    <w:t>Exit charge</w:t>
                                  </w:r>
                                </w:p>
                              </w:tc>
                              <w:tc>
                                <w:tcPr>
                                  <w:tcW w:w="3323" w:type="dxa"/>
                                  <w:tcBorders>
                                    <w:top w:val="none" w:sz="6" w:space="0" w:color="auto"/>
                                    <w:left w:val="none" w:sz="6" w:space="0" w:color="auto"/>
                                    <w:bottom w:val="none" w:sz="6" w:space="0" w:color="auto"/>
                                    <w:right w:val="single" w:sz="4" w:space="0" w:color="000000"/>
                                  </w:tcBorders>
                                </w:tcPr>
                                <w:p w14:paraId="7914C997" w14:textId="16250B21" w:rsidR="002C6FC7" w:rsidRDefault="00031861" w:rsidP="00D55058">
                                  <w:pPr>
                                    <w:pStyle w:val="TableParagraph"/>
                                    <w:kinsoku w:val="0"/>
                                    <w:overflowPunct w:val="0"/>
                                    <w:spacing w:before="18"/>
                                    <w:ind w:left="377"/>
                                    <w:rPr>
                                      <w:sz w:val="16"/>
                                      <w:szCs w:val="16"/>
                                    </w:rPr>
                                  </w:pPr>
                                  <w:r>
                                    <w:rPr>
                                      <w:sz w:val="16"/>
                                      <w:szCs w:val="16"/>
                                    </w:rPr>
                                    <w:t xml:space="preserve"> </w:t>
                                  </w:r>
                                  <w:r w:rsidR="00891EE3">
                                    <w:rPr>
                                      <w:sz w:val="16"/>
                                      <w:szCs w:val="16"/>
                                    </w:rPr>
                                    <w:t>0</w:t>
                                  </w:r>
                                  <w:r w:rsidR="00863F77">
                                    <w:rPr>
                                      <w:sz w:val="16"/>
                                      <w:szCs w:val="16"/>
                                    </w:rPr>
                                    <w:t>.00</w:t>
                                  </w:r>
                                  <w:r w:rsidR="00B52B49">
                                    <w:rPr>
                                      <w:sz w:val="16"/>
                                      <w:szCs w:val="16"/>
                                    </w:rPr>
                                    <w:t>%</w:t>
                                  </w:r>
                                </w:p>
                              </w:tc>
                            </w:tr>
                            <w:tr w:rsidR="002C6FC7" w14:paraId="5B486AEA" w14:textId="77777777">
                              <w:trPr>
                                <w:trHeight w:val="774"/>
                              </w:trPr>
                              <w:tc>
                                <w:tcPr>
                                  <w:tcW w:w="4990" w:type="dxa"/>
                                  <w:gridSpan w:val="2"/>
                                  <w:tcBorders>
                                    <w:top w:val="none" w:sz="6" w:space="0" w:color="auto"/>
                                    <w:left w:val="single" w:sz="4" w:space="0" w:color="000000"/>
                                    <w:bottom w:val="single" w:sz="4" w:space="0" w:color="000000"/>
                                    <w:right w:val="single" w:sz="4" w:space="0" w:color="000000"/>
                                  </w:tcBorders>
                                </w:tcPr>
                                <w:p w14:paraId="1DC64B6E" w14:textId="77777777" w:rsidR="002C6FC7" w:rsidRDefault="00B52B49">
                                  <w:pPr>
                                    <w:pStyle w:val="TableParagraph"/>
                                    <w:kinsoku w:val="0"/>
                                    <w:overflowPunct w:val="0"/>
                                    <w:spacing w:before="120"/>
                                    <w:ind w:right="9"/>
                                    <w:rPr>
                                      <w:sz w:val="16"/>
                                      <w:szCs w:val="16"/>
                                    </w:rPr>
                                  </w:pPr>
                                  <w:r>
                                    <w:rPr>
                                      <w:sz w:val="16"/>
                                      <w:szCs w:val="16"/>
                                    </w:rPr>
                                    <w:t>This is the maximum that might be taken out of your money before it is invested or before the proceeds of your investment are paid out.</w:t>
                                  </w:r>
                                </w:p>
                              </w:tc>
                            </w:tr>
                            <w:tr w:rsidR="002C6FC7" w14:paraId="51DE81F3" w14:textId="77777777">
                              <w:trPr>
                                <w:trHeight w:val="295"/>
                              </w:trPr>
                              <w:tc>
                                <w:tcPr>
                                  <w:tcW w:w="4990" w:type="dxa"/>
                                  <w:gridSpan w:val="2"/>
                                  <w:tcBorders>
                                    <w:top w:val="single" w:sz="4" w:space="0" w:color="000000"/>
                                    <w:left w:val="single" w:sz="4" w:space="0" w:color="000000"/>
                                    <w:bottom w:val="none" w:sz="6" w:space="0" w:color="auto"/>
                                    <w:right w:val="single" w:sz="4" w:space="0" w:color="000000"/>
                                  </w:tcBorders>
                                </w:tcPr>
                                <w:p w14:paraId="043A7671" w14:textId="77777777" w:rsidR="002C6FC7" w:rsidRDefault="00B52B49">
                                  <w:pPr>
                                    <w:pStyle w:val="TableParagraph"/>
                                    <w:kinsoku w:val="0"/>
                                    <w:overflowPunct w:val="0"/>
                                    <w:spacing w:before="80"/>
                                    <w:rPr>
                                      <w:b/>
                                      <w:bCs/>
                                      <w:sz w:val="16"/>
                                      <w:szCs w:val="16"/>
                                    </w:rPr>
                                  </w:pPr>
                                  <w:r>
                                    <w:rPr>
                                      <w:b/>
                                      <w:bCs/>
                                      <w:sz w:val="16"/>
                                      <w:szCs w:val="16"/>
                                    </w:rPr>
                                    <w:t>Charges taken from the Fund over a year</w:t>
                                  </w:r>
                                </w:p>
                              </w:tc>
                            </w:tr>
                            <w:tr w:rsidR="002C6FC7" w14:paraId="45DE2A17" w14:textId="77777777">
                              <w:trPr>
                                <w:trHeight w:val="260"/>
                              </w:trPr>
                              <w:tc>
                                <w:tcPr>
                                  <w:tcW w:w="1667" w:type="dxa"/>
                                  <w:tcBorders>
                                    <w:top w:val="none" w:sz="6" w:space="0" w:color="auto"/>
                                    <w:left w:val="single" w:sz="4" w:space="0" w:color="000000"/>
                                    <w:bottom w:val="single" w:sz="4" w:space="0" w:color="000000"/>
                                    <w:right w:val="none" w:sz="6" w:space="0" w:color="auto"/>
                                  </w:tcBorders>
                                </w:tcPr>
                                <w:p w14:paraId="602C2A42" w14:textId="77777777" w:rsidR="002C6FC7" w:rsidRDefault="00B52B49">
                                  <w:pPr>
                                    <w:pStyle w:val="TableParagraph"/>
                                    <w:kinsoku w:val="0"/>
                                    <w:overflowPunct w:val="0"/>
                                    <w:spacing w:before="77" w:line="163" w:lineRule="exact"/>
                                    <w:rPr>
                                      <w:sz w:val="16"/>
                                      <w:szCs w:val="16"/>
                                    </w:rPr>
                                  </w:pPr>
                                  <w:r>
                                    <w:rPr>
                                      <w:sz w:val="16"/>
                                      <w:szCs w:val="16"/>
                                    </w:rPr>
                                    <w:t>Ongoing charges</w:t>
                                  </w:r>
                                </w:p>
                              </w:tc>
                              <w:tc>
                                <w:tcPr>
                                  <w:tcW w:w="3323" w:type="dxa"/>
                                  <w:tcBorders>
                                    <w:top w:val="none" w:sz="6" w:space="0" w:color="auto"/>
                                    <w:left w:val="none" w:sz="6" w:space="0" w:color="auto"/>
                                    <w:bottom w:val="single" w:sz="4" w:space="0" w:color="000000"/>
                                    <w:right w:val="single" w:sz="4" w:space="0" w:color="000000"/>
                                  </w:tcBorders>
                                </w:tcPr>
                                <w:p w14:paraId="195DFDCC" w14:textId="1B15D673" w:rsidR="002C6FC7" w:rsidRDefault="00031861">
                                  <w:pPr>
                                    <w:pStyle w:val="TableParagraph"/>
                                    <w:kinsoku w:val="0"/>
                                    <w:overflowPunct w:val="0"/>
                                    <w:spacing w:before="27"/>
                                    <w:ind w:left="377"/>
                                    <w:rPr>
                                      <w:sz w:val="16"/>
                                      <w:szCs w:val="16"/>
                                    </w:rPr>
                                  </w:pPr>
                                  <w:r>
                                    <w:rPr>
                                      <w:sz w:val="16"/>
                                      <w:szCs w:val="16"/>
                                    </w:rPr>
                                    <w:t>1.</w:t>
                                  </w:r>
                                  <w:r w:rsidR="003F6EC1">
                                    <w:rPr>
                                      <w:sz w:val="16"/>
                                      <w:szCs w:val="16"/>
                                    </w:rPr>
                                    <w:t>5</w:t>
                                  </w:r>
                                  <w:r w:rsidR="00601E99">
                                    <w:rPr>
                                      <w:sz w:val="16"/>
                                      <w:szCs w:val="16"/>
                                    </w:rPr>
                                    <w:t>8</w:t>
                                  </w:r>
                                  <w:r w:rsidR="00B52B49">
                                    <w:rPr>
                                      <w:sz w:val="16"/>
                                      <w:szCs w:val="16"/>
                                    </w:rPr>
                                    <w:t>%</w:t>
                                  </w:r>
                                </w:p>
                              </w:tc>
                            </w:tr>
                            <w:tr w:rsidR="002C6FC7" w14:paraId="11150D36" w14:textId="77777777">
                              <w:trPr>
                                <w:trHeight w:val="306"/>
                              </w:trPr>
                              <w:tc>
                                <w:tcPr>
                                  <w:tcW w:w="4990" w:type="dxa"/>
                                  <w:gridSpan w:val="2"/>
                                  <w:tcBorders>
                                    <w:top w:val="single" w:sz="4" w:space="0" w:color="000000"/>
                                    <w:left w:val="single" w:sz="4" w:space="0" w:color="000000"/>
                                    <w:bottom w:val="none" w:sz="6" w:space="0" w:color="auto"/>
                                    <w:right w:val="single" w:sz="4" w:space="0" w:color="000000"/>
                                  </w:tcBorders>
                                </w:tcPr>
                                <w:p w14:paraId="770189EC" w14:textId="77777777" w:rsidR="002C6FC7" w:rsidRDefault="00B52B49">
                                  <w:pPr>
                                    <w:pStyle w:val="TableParagraph"/>
                                    <w:kinsoku w:val="0"/>
                                    <w:overflowPunct w:val="0"/>
                                    <w:spacing w:before="80"/>
                                    <w:rPr>
                                      <w:b/>
                                      <w:bCs/>
                                      <w:sz w:val="16"/>
                                      <w:szCs w:val="16"/>
                                    </w:rPr>
                                  </w:pPr>
                                  <w:r>
                                    <w:rPr>
                                      <w:b/>
                                      <w:bCs/>
                                      <w:sz w:val="16"/>
                                      <w:szCs w:val="16"/>
                                    </w:rPr>
                                    <w:t>Charges taken from the Fund under certain specific conditions</w:t>
                                  </w:r>
                                </w:p>
                              </w:tc>
                            </w:tr>
                            <w:tr w:rsidR="002C6FC7" w14:paraId="6C85F960" w14:textId="77777777">
                              <w:trPr>
                                <w:trHeight w:val="221"/>
                              </w:trPr>
                              <w:tc>
                                <w:tcPr>
                                  <w:tcW w:w="1667" w:type="dxa"/>
                                  <w:tcBorders>
                                    <w:top w:val="none" w:sz="6" w:space="0" w:color="auto"/>
                                    <w:left w:val="single" w:sz="4" w:space="0" w:color="000000"/>
                                    <w:bottom w:val="single" w:sz="4" w:space="0" w:color="000000"/>
                                    <w:right w:val="none" w:sz="6" w:space="0" w:color="auto"/>
                                  </w:tcBorders>
                                </w:tcPr>
                                <w:p w14:paraId="6FA88870" w14:textId="77777777" w:rsidR="002C6FC7" w:rsidRDefault="00B52B49">
                                  <w:pPr>
                                    <w:pStyle w:val="TableParagraph"/>
                                    <w:kinsoku w:val="0"/>
                                    <w:overflowPunct w:val="0"/>
                                    <w:spacing w:before="37" w:line="163" w:lineRule="exact"/>
                                    <w:rPr>
                                      <w:sz w:val="16"/>
                                      <w:szCs w:val="16"/>
                                    </w:rPr>
                                  </w:pPr>
                                  <w:r>
                                    <w:rPr>
                                      <w:sz w:val="16"/>
                                      <w:szCs w:val="16"/>
                                    </w:rPr>
                                    <w:t>Performance Fee</w:t>
                                  </w:r>
                                </w:p>
                              </w:tc>
                              <w:tc>
                                <w:tcPr>
                                  <w:tcW w:w="3323" w:type="dxa"/>
                                  <w:tcBorders>
                                    <w:top w:val="none" w:sz="6" w:space="0" w:color="auto"/>
                                    <w:left w:val="none" w:sz="6" w:space="0" w:color="auto"/>
                                    <w:bottom w:val="single" w:sz="4" w:space="0" w:color="000000"/>
                                    <w:right w:val="single" w:sz="4" w:space="0" w:color="000000"/>
                                  </w:tcBorders>
                                </w:tcPr>
                                <w:p w14:paraId="2F8716E4" w14:textId="77777777" w:rsidR="002C6FC7" w:rsidRDefault="00B52B49">
                                  <w:pPr>
                                    <w:pStyle w:val="TableParagraph"/>
                                    <w:kinsoku w:val="0"/>
                                    <w:overflowPunct w:val="0"/>
                                    <w:spacing w:before="37" w:line="163" w:lineRule="exact"/>
                                    <w:ind w:left="377"/>
                                    <w:rPr>
                                      <w:sz w:val="16"/>
                                      <w:szCs w:val="16"/>
                                    </w:rPr>
                                  </w:pPr>
                                  <w:r>
                                    <w:rPr>
                                      <w:sz w:val="16"/>
                                      <w:szCs w:val="16"/>
                                    </w:rPr>
                                    <w:t>0.00%</w:t>
                                  </w:r>
                                </w:p>
                              </w:tc>
                            </w:tr>
                          </w:tbl>
                          <w:p w14:paraId="6ABCBBD4" w14:textId="77777777" w:rsidR="002C6FC7" w:rsidRDefault="002C6FC7">
                            <w:pPr>
                              <w:pStyle w:val="BodyText"/>
                              <w:kinsoku w:val="0"/>
                              <w:overflowPunct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75DBE" id="Text Box 5" o:spid="_x0000_s1029" type="#_x0000_t202" style="position:absolute;left:0;text-align:left;margin-left:28.3pt;margin-top:6.1pt;width:260.95pt;height:14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667"/>
                        <w:gridCol w:w="3323"/>
                      </w:tblGrid>
                      <w:tr w:rsidR="002C6FC7" w14:paraId="6328C84F" w14:textId="77777777">
                        <w:trPr>
                          <w:trHeight w:val="203"/>
                        </w:trPr>
                        <w:tc>
                          <w:tcPr>
                            <w:tcW w:w="4990" w:type="dxa"/>
                            <w:gridSpan w:val="2"/>
                            <w:tcBorders>
                              <w:top w:val="single" w:sz="4" w:space="0" w:color="000000"/>
                              <w:left w:val="single" w:sz="4" w:space="0" w:color="000000"/>
                              <w:bottom w:val="none" w:sz="6" w:space="0" w:color="auto"/>
                              <w:right w:val="single" w:sz="4" w:space="0" w:color="000000"/>
                            </w:tcBorders>
                          </w:tcPr>
                          <w:p w14:paraId="664AEB11" w14:textId="77777777" w:rsidR="002C6FC7" w:rsidRDefault="00B52B49">
                            <w:pPr>
                              <w:pStyle w:val="TableParagraph"/>
                              <w:kinsoku w:val="0"/>
                              <w:overflowPunct w:val="0"/>
                              <w:spacing w:before="1" w:line="182" w:lineRule="exact"/>
                              <w:rPr>
                                <w:b/>
                                <w:bCs/>
                                <w:sz w:val="16"/>
                                <w:szCs w:val="16"/>
                              </w:rPr>
                            </w:pPr>
                            <w:r>
                              <w:rPr>
                                <w:b/>
                                <w:bCs/>
                                <w:sz w:val="16"/>
                                <w:szCs w:val="16"/>
                              </w:rPr>
                              <w:t>One-off charges taken before or after you invest</w:t>
                            </w:r>
                          </w:p>
                        </w:tc>
                      </w:tr>
                      <w:tr w:rsidR="002C6FC7" w14:paraId="434DFD9A" w14:textId="77777777">
                        <w:trPr>
                          <w:trHeight w:val="242"/>
                        </w:trPr>
                        <w:tc>
                          <w:tcPr>
                            <w:tcW w:w="1667" w:type="dxa"/>
                            <w:tcBorders>
                              <w:top w:val="none" w:sz="6" w:space="0" w:color="auto"/>
                              <w:left w:val="single" w:sz="4" w:space="0" w:color="000000"/>
                              <w:bottom w:val="none" w:sz="6" w:space="0" w:color="auto"/>
                              <w:right w:val="none" w:sz="6" w:space="0" w:color="auto"/>
                            </w:tcBorders>
                          </w:tcPr>
                          <w:p w14:paraId="2E997670" w14:textId="77777777" w:rsidR="002C6FC7" w:rsidRDefault="00B52B49">
                            <w:pPr>
                              <w:pStyle w:val="TableParagraph"/>
                              <w:kinsoku w:val="0"/>
                              <w:overflowPunct w:val="0"/>
                              <w:spacing w:before="13"/>
                              <w:rPr>
                                <w:sz w:val="16"/>
                                <w:szCs w:val="16"/>
                              </w:rPr>
                            </w:pPr>
                            <w:r>
                              <w:rPr>
                                <w:sz w:val="16"/>
                                <w:szCs w:val="16"/>
                              </w:rPr>
                              <w:t>Entry charge</w:t>
                            </w:r>
                          </w:p>
                        </w:tc>
                        <w:tc>
                          <w:tcPr>
                            <w:tcW w:w="3323" w:type="dxa"/>
                            <w:tcBorders>
                              <w:top w:val="none" w:sz="6" w:space="0" w:color="auto"/>
                              <w:left w:val="none" w:sz="6" w:space="0" w:color="auto"/>
                              <w:bottom w:val="none" w:sz="6" w:space="0" w:color="auto"/>
                              <w:right w:val="single" w:sz="4" w:space="0" w:color="000000"/>
                            </w:tcBorders>
                          </w:tcPr>
                          <w:p w14:paraId="50616434" w14:textId="0339B860" w:rsidR="002C6FC7" w:rsidRDefault="00FB0034">
                            <w:pPr>
                              <w:pStyle w:val="TableParagraph"/>
                              <w:kinsoku w:val="0"/>
                              <w:overflowPunct w:val="0"/>
                              <w:spacing w:before="35"/>
                              <w:ind w:left="377"/>
                              <w:rPr>
                                <w:sz w:val="16"/>
                                <w:szCs w:val="16"/>
                              </w:rPr>
                            </w:pPr>
                            <w:r>
                              <w:rPr>
                                <w:sz w:val="16"/>
                                <w:szCs w:val="16"/>
                              </w:rPr>
                              <w:t xml:space="preserve"> </w:t>
                            </w:r>
                            <w:r w:rsidR="00891EE3">
                              <w:rPr>
                                <w:sz w:val="16"/>
                                <w:szCs w:val="16"/>
                              </w:rPr>
                              <w:t>0</w:t>
                            </w:r>
                            <w:r w:rsidR="00863F77">
                              <w:rPr>
                                <w:sz w:val="16"/>
                                <w:szCs w:val="16"/>
                              </w:rPr>
                              <w:t>.00</w:t>
                            </w:r>
                            <w:r w:rsidR="00B52B49">
                              <w:rPr>
                                <w:sz w:val="16"/>
                                <w:szCs w:val="16"/>
                              </w:rPr>
                              <w:t>%</w:t>
                            </w:r>
                          </w:p>
                        </w:tc>
                      </w:tr>
                      <w:tr w:rsidR="002C6FC7" w14:paraId="2D868C6F" w14:textId="77777777">
                        <w:trPr>
                          <w:trHeight w:val="327"/>
                        </w:trPr>
                        <w:tc>
                          <w:tcPr>
                            <w:tcW w:w="1667" w:type="dxa"/>
                            <w:tcBorders>
                              <w:top w:val="none" w:sz="6" w:space="0" w:color="auto"/>
                              <w:left w:val="single" w:sz="4" w:space="0" w:color="000000"/>
                              <w:bottom w:val="none" w:sz="6" w:space="0" w:color="auto"/>
                              <w:right w:val="none" w:sz="6" w:space="0" w:color="auto"/>
                            </w:tcBorders>
                          </w:tcPr>
                          <w:p w14:paraId="2206C734" w14:textId="77777777" w:rsidR="002C6FC7" w:rsidRDefault="00B52B49">
                            <w:pPr>
                              <w:pStyle w:val="TableParagraph"/>
                              <w:kinsoku w:val="0"/>
                              <w:overflowPunct w:val="0"/>
                              <w:spacing w:before="18"/>
                              <w:rPr>
                                <w:sz w:val="16"/>
                                <w:szCs w:val="16"/>
                              </w:rPr>
                            </w:pPr>
                            <w:r>
                              <w:rPr>
                                <w:sz w:val="16"/>
                                <w:szCs w:val="16"/>
                              </w:rPr>
                              <w:t>Exit charge</w:t>
                            </w:r>
                          </w:p>
                        </w:tc>
                        <w:tc>
                          <w:tcPr>
                            <w:tcW w:w="3323" w:type="dxa"/>
                            <w:tcBorders>
                              <w:top w:val="none" w:sz="6" w:space="0" w:color="auto"/>
                              <w:left w:val="none" w:sz="6" w:space="0" w:color="auto"/>
                              <w:bottom w:val="none" w:sz="6" w:space="0" w:color="auto"/>
                              <w:right w:val="single" w:sz="4" w:space="0" w:color="000000"/>
                            </w:tcBorders>
                          </w:tcPr>
                          <w:p w14:paraId="7914C997" w14:textId="16250B21" w:rsidR="002C6FC7" w:rsidRDefault="00031861" w:rsidP="00D55058">
                            <w:pPr>
                              <w:pStyle w:val="TableParagraph"/>
                              <w:kinsoku w:val="0"/>
                              <w:overflowPunct w:val="0"/>
                              <w:spacing w:before="18"/>
                              <w:ind w:left="377"/>
                              <w:rPr>
                                <w:sz w:val="16"/>
                                <w:szCs w:val="16"/>
                              </w:rPr>
                            </w:pPr>
                            <w:r>
                              <w:rPr>
                                <w:sz w:val="16"/>
                                <w:szCs w:val="16"/>
                              </w:rPr>
                              <w:t xml:space="preserve"> </w:t>
                            </w:r>
                            <w:r w:rsidR="00891EE3">
                              <w:rPr>
                                <w:sz w:val="16"/>
                                <w:szCs w:val="16"/>
                              </w:rPr>
                              <w:t>0</w:t>
                            </w:r>
                            <w:r w:rsidR="00863F77">
                              <w:rPr>
                                <w:sz w:val="16"/>
                                <w:szCs w:val="16"/>
                              </w:rPr>
                              <w:t>.00</w:t>
                            </w:r>
                            <w:r w:rsidR="00B52B49">
                              <w:rPr>
                                <w:sz w:val="16"/>
                                <w:szCs w:val="16"/>
                              </w:rPr>
                              <w:t>%</w:t>
                            </w:r>
                          </w:p>
                        </w:tc>
                      </w:tr>
                      <w:tr w:rsidR="002C6FC7" w14:paraId="5B486AEA" w14:textId="77777777">
                        <w:trPr>
                          <w:trHeight w:val="774"/>
                        </w:trPr>
                        <w:tc>
                          <w:tcPr>
                            <w:tcW w:w="4990" w:type="dxa"/>
                            <w:gridSpan w:val="2"/>
                            <w:tcBorders>
                              <w:top w:val="none" w:sz="6" w:space="0" w:color="auto"/>
                              <w:left w:val="single" w:sz="4" w:space="0" w:color="000000"/>
                              <w:bottom w:val="single" w:sz="4" w:space="0" w:color="000000"/>
                              <w:right w:val="single" w:sz="4" w:space="0" w:color="000000"/>
                            </w:tcBorders>
                          </w:tcPr>
                          <w:p w14:paraId="1DC64B6E" w14:textId="77777777" w:rsidR="002C6FC7" w:rsidRDefault="00B52B49">
                            <w:pPr>
                              <w:pStyle w:val="TableParagraph"/>
                              <w:kinsoku w:val="0"/>
                              <w:overflowPunct w:val="0"/>
                              <w:spacing w:before="120"/>
                              <w:ind w:right="9"/>
                              <w:rPr>
                                <w:sz w:val="16"/>
                                <w:szCs w:val="16"/>
                              </w:rPr>
                            </w:pPr>
                            <w:r>
                              <w:rPr>
                                <w:sz w:val="16"/>
                                <w:szCs w:val="16"/>
                              </w:rPr>
                              <w:t>This is the maximum that might be taken out of your money before it is invested or before the proceeds of your investment are paid out.</w:t>
                            </w:r>
                          </w:p>
                        </w:tc>
                      </w:tr>
                      <w:tr w:rsidR="002C6FC7" w14:paraId="51DE81F3" w14:textId="77777777">
                        <w:trPr>
                          <w:trHeight w:val="295"/>
                        </w:trPr>
                        <w:tc>
                          <w:tcPr>
                            <w:tcW w:w="4990" w:type="dxa"/>
                            <w:gridSpan w:val="2"/>
                            <w:tcBorders>
                              <w:top w:val="single" w:sz="4" w:space="0" w:color="000000"/>
                              <w:left w:val="single" w:sz="4" w:space="0" w:color="000000"/>
                              <w:bottom w:val="none" w:sz="6" w:space="0" w:color="auto"/>
                              <w:right w:val="single" w:sz="4" w:space="0" w:color="000000"/>
                            </w:tcBorders>
                          </w:tcPr>
                          <w:p w14:paraId="043A7671" w14:textId="77777777" w:rsidR="002C6FC7" w:rsidRDefault="00B52B49">
                            <w:pPr>
                              <w:pStyle w:val="TableParagraph"/>
                              <w:kinsoku w:val="0"/>
                              <w:overflowPunct w:val="0"/>
                              <w:spacing w:before="80"/>
                              <w:rPr>
                                <w:b/>
                                <w:bCs/>
                                <w:sz w:val="16"/>
                                <w:szCs w:val="16"/>
                              </w:rPr>
                            </w:pPr>
                            <w:r>
                              <w:rPr>
                                <w:b/>
                                <w:bCs/>
                                <w:sz w:val="16"/>
                                <w:szCs w:val="16"/>
                              </w:rPr>
                              <w:t>Charges taken from the Fund over a year</w:t>
                            </w:r>
                          </w:p>
                        </w:tc>
                      </w:tr>
                      <w:tr w:rsidR="002C6FC7" w14:paraId="45DE2A17" w14:textId="77777777">
                        <w:trPr>
                          <w:trHeight w:val="260"/>
                        </w:trPr>
                        <w:tc>
                          <w:tcPr>
                            <w:tcW w:w="1667" w:type="dxa"/>
                            <w:tcBorders>
                              <w:top w:val="none" w:sz="6" w:space="0" w:color="auto"/>
                              <w:left w:val="single" w:sz="4" w:space="0" w:color="000000"/>
                              <w:bottom w:val="single" w:sz="4" w:space="0" w:color="000000"/>
                              <w:right w:val="none" w:sz="6" w:space="0" w:color="auto"/>
                            </w:tcBorders>
                          </w:tcPr>
                          <w:p w14:paraId="602C2A42" w14:textId="77777777" w:rsidR="002C6FC7" w:rsidRDefault="00B52B49">
                            <w:pPr>
                              <w:pStyle w:val="TableParagraph"/>
                              <w:kinsoku w:val="0"/>
                              <w:overflowPunct w:val="0"/>
                              <w:spacing w:before="77" w:line="163" w:lineRule="exact"/>
                              <w:rPr>
                                <w:sz w:val="16"/>
                                <w:szCs w:val="16"/>
                              </w:rPr>
                            </w:pPr>
                            <w:r>
                              <w:rPr>
                                <w:sz w:val="16"/>
                                <w:szCs w:val="16"/>
                              </w:rPr>
                              <w:t>Ongoing charges</w:t>
                            </w:r>
                          </w:p>
                        </w:tc>
                        <w:tc>
                          <w:tcPr>
                            <w:tcW w:w="3323" w:type="dxa"/>
                            <w:tcBorders>
                              <w:top w:val="none" w:sz="6" w:space="0" w:color="auto"/>
                              <w:left w:val="none" w:sz="6" w:space="0" w:color="auto"/>
                              <w:bottom w:val="single" w:sz="4" w:space="0" w:color="000000"/>
                              <w:right w:val="single" w:sz="4" w:space="0" w:color="000000"/>
                            </w:tcBorders>
                          </w:tcPr>
                          <w:p w14:paraId="195DFDCC" w14:textId="1B15D673" w:rsidR="002C6FC7" w:rsidRDefault="00031861">
                            <w:pPr>
                              <w:pStyle w:val="TableParagraph"/>
                              <w:kinsoku w:val="0"/>
                              <w:overflowPunct w:val="0"/>
                              <w:spacing w:before="27"/>
                              <w:ind w:left="377"/>
                              <w:rPr>
                                <w:sz w:val="16"/>
                                <w:szCs w:val="16"/>
                              </w:rPr>
                            </w:pPr>
                            <w:r>
                              <w:rPr>
                                <w:sz w:val="16"/>
                                <w:szCs w:val="16"/>
                              </w:rPr>
                              <w:t>1.</w:t>
                            </w:r>
                            <w:r w:rsidR="003F6EC1">
                              <w:rPr>
                                <w:sz w:val="16"/>
                                <w:szCs w:val="16"/>
                              </w:rPr>
                              <w:t>5</w:t>
                            </w:r>
                            <w:r w:rsidR="00601E99">
                              <w:rPr>
                                <w:sz w:val="16"/>
                                <w:szCs w:val="16"/>
                              </w:rPr>
                              <w:t>8</w:t>
                            </w:r>
                            <w:r w:rsidR="00B52B49">
                              <w:rPr>
                                <w:sz w:val="16"/>
                                <w:szCs w:val="16"/>
                              </w:rPr>
                              <w:t>%</w:t>
                            </w:r>
                          </w:p>
                        </w:tc>
                      </w:tr>
                      <w:tr w:rsidR="002C6FC7" w14:paraId="11150D36" w14:textId="77777777">
                        <w:trPr>
                          <w:trHeight w:val="306"/>
                        </w:trPr>
                        <w:tc>
                          <w:tcPr>
                            <w:tcW w:w="4990" w:type="dxa"/>
                            <w:gridSpan w:val="2"/>
                            <w:tcBorders>
                              <w:top w:val="single" w:sz="4" w:space="0" w:color="000000"/>
                              <w:left w:val="single" w:sz="4" w:space="0" w:color="000000"/>
                              <w:bottom w:val="none" w:sz="6" w:space="0" w:color="auto"/>
                              <w:right w:val="single" w:sz="4" w:space="0" w:color="000000"/>
                            </w:tcBorders>
                          </w:tcPr>
                          <w:p w14:paraId="770189EC" w14:textId="77777777" w:rsidR="002C6FC7" w:rsidRDefault="00B52B49">
                            <w:pPr>
                              <w:pStyle w:val="TableParagraph"/>
                              <w:kinsoku w:val="0"/>
                              <w:overflowPunct w:val="0"/>
                              <w:spacing w:before="80"/>
                              <w:rPr>
                                <w:b/>
                                <w:bCs/>
                                <w:sz w:val="16"/>
                                <w:szCs w:val="16"/>
                              </w:rPr>
                            </w:pPr>
                            <w:r>
                              <w:rPr>
                                <w:b/>
                                <w:bCs/>
                                <w:sz w:val="16"/>
                                <w:szCs w:val="16"/>
                              </w:rPr>
                              <w:t>Charges taken from the Fund under certain specific conditions</w:t>
                            </w:r>
                          </w:p>
                        </w:tc>
                      </w:tr>
                      <w:tr w:rsidR="002C6FC7" w14:paraId="6C85F960" w14:textId="77777777">
                        <w:trPr>
                          <w:trHeight w:val="221"/>
                        </w:trPr>
                        <w:tc>
                          <w:tcPr>
                            <w:tcW w:w="1667" w:type="dxa"/>
                            <w:tcBorders>
                              <w:top w:val="none" w:sz="6" w:space="0" w:color="auto"/>
                              <w:left w:val="single" w:sz="4" w:space="0" w:color="000000"/>
                              <w:bottom w:val="single" w:sz="4" w:space="0" w:color="000000"/>
                              <w:right w:val="none" w:sz="6" w:space="0" w:color="auto"/>
                            </w:tcBorders>
                          </w:tcPr>
                          <w:p w14:paraId="6FA88870" w14:textId="77777777" w:rsidR="002C6FC7" w:rsidRDefault="00B52B49">
                            <w:pPr>
                              <w:pStyle w:val="TableParagraph"/>
                              <w:kinsoku w:val="0"/>
                              <w:overflowPunct w:val="0"/>
                              <w:spacing w:before="37" w:line="163" w:lineRule="exact"/>
                              <w:rPr>
                                <w:sz w:val="16"/>
                                <w:szCs w:val="16"/>
                              </w:rPr>
                            </w:pPr>
                            <w:r>
                              <w:rPr>
                                <w:sz w:val="16"/>
                                <w:szCs w:val="16"/>
                              </w:rPr>
                              <w:t>Performance Fee</w:t>
                            </w:r>
                          </w:p>
                        </w:tc>
                        <w:tc>
                          <w:tcPr>
                            <w:tcW w:w="3323" w:type="dxa"/>
                            <w:tcBorders>
                              <w:top w:val="none" w:sz="6" w:space="0" w:color="auto"/>
                              <w:left w:val="none" w:sz="6" w:space="0" w:color="auto"/>
                              <w:bottom w:val="single" w:sz="4" w:space="0" w:color="000000"/>
                              <w:right w:val="single" w:sz="4" w:space="0" w:color="000000"/>
                            </w:tcBorders>
                          </w:tcPr>
                          <w:p w14:paraId="2F8716E4" w14:textId="77777777" w:rsidR="002C6FC7" w:rsidRDefault="00B52B49">
                            <w:pPr>
                              <w:pStyle w:val="TableParagraph"/>
                              <w:kinsoku w:val="0"/>
                              <w:overflowPunct w:val="0"/>
                              <w:spacing w:before="37" w:line="163" w:lineRule="exact"/>
                              <w:ind w:left="377"/>
                              <w:rPr>
                                <w:sz w:val="16"/>
                                <w:szCs w:val="16"/>
                              </w:rPr>
                            </w:pPr>
                            <w:r>
                              <w:rPr>
                                <w:sz w:val="16"/>
                                <w:szCs w:val="16"/>
                              </w:rPr>
                              <w:t>0.00%</w:t>
                            </w:r>
                          </w:p>
                        </w:tc>
                      </w:tr>
                    </w:tbl>
                    <w:p w14:paraId="6ABCBBD4" w14:textId="77777777" w:rsidR="002C6FC7" w:rsidRDefault="002C6FC7">
                      <w:pPr>
                        <w:pStyle w:val="BodyText"/>
                        <w:kinsoku w:val="0"/>
                        <w:overflowPunct w:val="0"/>
                        <w:rPr>
                          <w:rFonts w:ascii="Times New Roman" w:hAnsi="Times New Roman" w:cs="Times New Roman"/>
                          <w:sz w:val="24"/>
                          <w:szCs w:val="24"/>
                        </w:rPr>
                      </w:pPr>
                    </w:p>
                  </w:txbxContent>
                </v:textbox>
                <w10:wrap anchorx="page"/>
              </v:shape>
            </w:pict>
          </mc:Fallback>
        </mc:AlternateContent>
      </w:r>
      <w:r>
        <w:t>The Exit and Entry charges shown are maximum figures, and in some cases an investor may pay substantially less, or there will be no charges at all. You can find out the actual entry and exit charges from your financial advisor, distributor or</w:t>
      </w:r>
      <w:r w:rsidR="00D55058">
        <w:t xml:space="preserve"> from</w:t>
      </w:r>
      <w:r>
        <w:t xml:space="preserve"> </w:t>
      </w:r>
      <w:r w:rsidR="00033920">
        <w:t>the Manager</w:t>
      </w:r>
      <w:r>
        <w:t xml:space="preserve"> of the</w:t>
      </w:r>
      <w:r>
        <w:rPr>
          <w:spacing w:val="-18"/>
        </w:rPr>
        <w:t xml:space="preserve"> </w:t>
      </w:r>
      <w:r>
        <w:t>Fund.</w:t>
      </w:r>
    </w:p>
    <w:p w14:paraId="6BFF0C4A" w14:textId="3B8AB561" w:rsidR="00033920" w:rsidRDefault="00033920">
      <w:pPr>
        <w:pStyle w:val="BodyText"/>
        <w:kinsoku w:val="0"/>
        <w:overflowPunct w:val="0"/>
        <w:spacing w:before="124"/>
        <w:ind w:left="5828" w:right="308"/>
        <w:jc w:val="both"/>
      </w:pPr>
      <w:r w:rsidRPr="00033920">
        <w:t>The ongoing charges figure is an estimate based on a projection of the expenses of the Fund for the first twelve months of operation of the Fund, which includes estimates of any sales charges and ongoing charges which may be levied by the underlying collective undertakings into which the Fund invests.</w:t>
      </w:r>
    </w:p>
    <w:p w14:paraId="2DDFB7EF" w14:textId="7947B4B5" w:rsidR="002C6FC7" w:rsidRDefault="002C6FC7" w:rsidP="008864C0">
      <w:pPr>
        <w:pStyle w:val="BodyText"/>
        <w:tabs>
          <w:tab w:val="left" w:pos="8526"/>
        </w:tabs>
        <w:kinsoku w:val="0"/>
        <w:overflowPunct w:val="0"/>
        <w:spacing w:before="11"/>
        <w:rPr>
          <w:sz w:val="15"/>
          <w:szCs w:val="15"/>
        </w:rPr>
      </w:pPr>
    </w:p>
    <w:p w14:paraId="5E12C0D7" w14:textId="38DDF53F" w:rsidR="00D55058" w:rsidRDefault="00B52B49" w:rsidP="00033920">
      <w:pPr>
        <w:pStyle w:val="BodyText"/>
        <w:kinsoku w:val="0"/>
        <w:overflowPunct w:val="0"/>
        <w:ind w:left="5828" w:right="307"/>
        <w:jc w:val="both"/>
      </w:pPr>
      <w:r>
        <w:t>This figure may vary from year to year. It excludes portfolio transaction costs, except in the case of an entry or exit charge paid by the UCITS when buying or selling units in another UCITS or collective investment undertaking.</w:t>
      </w:r>
    </w:p>
    <w:p w14:paraId="107CE162" w14:textId="77777777" w:rsidR="00D55058" w:rsidRDefault="00D55058">
      <w:pPr>
        <w:pStyle w:val="BodyText"/>
        <w:kinsoku w:val="0"/>
        <w:overflowPunct w:val="0"/>
        <w:ind w:left="301"/>
      </w:pPr>
    </w:p>
    <w:p w14:paraId="21DF27F2" w14:textId="7369B646" w:rsidR="002C6FC7" w:rsidRDefault="00B52B49">
      <w:pPr>
        <w:pStyle w:val="BodyText"/>
        <w:kinsoku w:val="0"/>
        <w:overflowPunct w:val="0"/>
        <w:ind w:left="301"/>
      </w:pPr>
      <w:r>
        <w:t xml:space="preserve">You can find more details about the charges in the section of the Fund's Prospectus entitled </w:t>
      </w:r>
      <w:r w:rsidR="00EB4292">
        <w:t>“</w:t>
      </w:r>
      <w:r>
        <w:t>Fees and Expenses</w:t>
      </w:r>
      <w:r w:rsidR="00EB4292">
        <w:t>”</w:t>
      </w:r>
      <w:r>
        <w:t>.</w:t>
      </w:r>
    </w:p>
    <w:p w14:paraId="090C435D" w14:textId="77777777" w:rsidR="002C6FC7" w:rsidRDefault="00B52B49">
      <w:pPr>
        <w:pStyle w:val="BodyText"/>
        <w:kinsoku w:val="0"/>
        <w:overflowPunct w:val="0"/>
        <w:spacing w:before="10"/>
      </w:pPr>
      <w:r>
        <w:rPr>
          <w:noProof/>
        </w:rPr>
        <mc:AlternateContent>
          <mc:Choice Requires="wps">
            <w:drawing>
              <wp:anchor distT="0" distB="0" distL="0" distR="0" simplePos="0" relativeHeight="251659264" behindDoc="0" locked="0" layoutInCell="0" allowOverlap="1" wp14:anchorId="5A741B3F" wp14:editId="6D3FF11D">
                <wp:simplePos x="0" y="0"/>
                <wp:positionH relativeFrom="page">
                  <wp:posOffset>357505</wp:posOffset>
                </wp:positionH>
                <wp:positionV relativeFrom="paragraph">
                  <wp:posOffset>151765</wp:posOffset>
                </wp:positionV>
                <wp:extent cx="6784975" cy="162560"/>
                <wp:effectExtent l="0" t="0" r="15875" b="27940"/>
                <wp:wrapTopAndBottom/>
                <wp:docPr id="5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975" cy="162560"/>
                        </a:xfrm>
                        <a:prstGeom prst="rect">
                          <a:avLst/>
                        </a:prstGeom>
                        <a:solidFill>
                          <a:srgbClr val="BEBEBE"/>
                        </a:solidFill>
                        <a:ln w="6108" cmpd="sng">
                          <a:solidFill>
                            <a:schemeClr val="tx1"/>
                          </a:solidFill>
                          <a:miter lim="800000"/>
                          <a:headEnd/>
                          <a:tailEnd/>
                        </a:ln>
                      </wps:spPr>
                      <wps:txbx>
                        <w:txbxContent>
                          <w:p w14:paraId="44E0C78A" w14:textId="77777777" w:rsidR="002C6FC7" w:rsidRDefault="00B52B49">
                            <w:pPr>
                              <w:pStyle w:val="BodyText"/>
                              <w:kinsoku w:val="0"/>
                              <w:overflowPunct w:val="0"/>
                              <w:spacing w:before="18"/>
                              <w:ind w:left="50"/>
                              <w:rPr>
                                <w:b/>
                                <w:bCs/>
                                <w:sz w:val="18"/>
                                <w:szCs w:val="18"/>
                              </w:rPr>
                            </w:pPr>
                            <w:r>
                              <w:rPr>
                                <w:b/>
                                <w:bCs/>
                                <w:sz w:val="18"/>
                                <w:szCs w:val="18"/>
                              </w:rPr>
                              <w:t>Past Performance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41B3F" id="Text Box 6" o:spid="_x0000_s1030" type="#_x0000_t202" style="position:absolute;margin-left:28.15pt;margin-top:11.95pt;width:534.25pt;height:12.8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" o:allowincell="f" fillcolor="#bebebe" strokecolor="black [3213]" strokeweight=".16967mm">
                <v:textbox inset="0,0,0,0">
                  <w:txbxContent>
                    <w:p w14:paraId="44E0C78A" w14:textId="77777777" w:rsidR="002C6FC7" w:rsidRDefault="00B52B49">
                      <w:pPr>
                        <w:pStyle w:val="BodyText"/>
                        <w:kinsoku w:val="0"/>
                        <w:overflowPunct w:val="0"/>
                        <w:spacing w:before="18"/>
                        <w:ind w:left="50"/>
                        <w:rPr>
                          <w:b/>
                          <w:bCs/>
                          <w:sz w:val="18"/>
                          <w:szCs w:val="18"/>
                        </w:rPr>
                      </w:pPr>
                      <w:r>
                        <w:rPr>
                          <w:b/>
                          <w:bCs/>
                          <w:sz w:val="18"/>
                          <w:szCs w:val="18"/>
                        </w:rPr>
                        <w:t>Past Performance</w:t>
                      </w:r>
                    </w:p>
                  </w:txbxContent>
                </v:textbox>
                <w10:wrap type="topAndBottom" anchorx="page"/>
              </v:shape>
            </w:pict>
          </mc:Fallback>
        </mc:AlternateContent>
      </w:r>
    </w:p>
    <w:p w14:paraId="3680EF19" w14:textId="77777777" w:rsidR="002C6FC7" w:rsidRPr="00E67AA4" w:rsidRDefault="002C6FC7">
      <w:pPr>
        <w:pStyle w:val="BodyText"/>
        <w:kinsoku w:val="0"/>
        <w:overflowPunct w:val="0"/>
        <w:rPr>
          <w:b/>
          <w:sz w:val="8"/>
          <w:szCs w:val="8"/>
        </w:rPr>
      </w:pPr>
    </w:p>
    <w:p w14:paraId="31DDE0C6" w14:textId="2DFBE965" w:rsidR="002C6FC7" w:rsidRPr="00E67AA4" w:rsidRDefault="00D55058" w:rsidP="00EB4292">
      <w:pPr>
        <w:ind w:firstLine="301"/>
        <w:rPr>
          <w:b/>
          <w:sz w:val="16"/>
          <w:szCs w:val="28"/>
        </w:rPr>
      </w:pPr>
      <w:r w:rsidRPr="00E67AA4">
        <w:rPr>
          <w:b/>
          <w:sz w:val="16"/>
          <w:szCs w:val="28"/>
        </w:rPr>
        <w:t xml:space="preserve">There is insufficient data for this Share Class to provide a useful indication of past performance. </w:t>
      </w:r>
      <w:r w:rsidR="00B52B49" w:rsidRPr="00E67AA4">
        <w:rPr>
          <w:b/>
          <w:noProof/>
        </w:rPr>
        <mc:AlternateContent>
          <mc:Choice Requires="wps">
            <w:drawing>
              <wp:anchor distT="0" distB="0" distL="0" distR="0" simplePos="0" relativeHeight="251662336" behindDoc="0" locked="0" layoutInCell="0" allowOverlap="1" wp14:anchorId="1AE2C6E0" wp14:editId="230B8CDC">
                <wp:simplePos x="0" y="0"/>
                <wp:positionH relativeFrom="page">
                  <wp:posOffset>357505</wp:posOffset>
                </wp:positionH>
                <wp:positionV relativeFrom="paragraph">
                  <wp:posOffset>231775</wp:posOffset>
                </wp:positionV>
                <wp:extent cx="6798945" cy="162560"/>
                <wp:effectExtent l="0" t="0" r="20955" b="27940"/>
                <wp:wrapTopAndBottom/>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8945" cy="162560"/>
                        </a:xfrm>
                        <a:prstGeom prst="rect">
                          <a:avLst/>
                        </a:prstGeom>
                        <a:solidFill>
                          <a:srgbClr val="BEBEBE"/>
                        </a:solidFill>
                        <a:ln w="6108" cmpd="sng">
                          <a:solidFill>
                            <a:srgbClr val="000000"/>
                          </a:solidFill>
                          <a:miter lim="800000"/>
                          <a:headEnd/>
                          <a:tailEnd/>
                        </a:ln>
                      </wps:spPr>
                      <wps:txbx>
                        <w:txbxContent>
                          <w:p w14:paraId="2DB96443" w14:textId="77777777" w:rsidR="002C6FC7" w:rsidRDefault="00B52B49">
                            <w:pPr>
                              <w:pStyle w:val="BodyText"/>
                              <w:kinsoku w:val="0"/>
                              <w:overflowPunct w:val="0"/>
                              <w:spacing w:before="18"/>
                              <w:ind w:left="50"/>
                              <w:rPr>
                                <w:b/>
                                <w:bCs/>
                                <w:sz w:val="18"/>
                                <w:szCs w:val="18"/>
                              </w:rPr>
                            </w:pPr>
                            <w:r>
                              <w:rPr>
                                <w:b/>
                                <w:bCs/>
                                <w:sz w:val="18"/>
                                <w:szCs w:val="18"/>
                              </w:rPr>
                              <w:t>Practical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2C6E0" id="Text Box 54" o:spid="_x0000_s1031" type="#_x0000_t202" style="position:absolute;left:0;text-align:left;margin-left:28.15pt;margin-top:18.25pt;width:535.35pt;height:12.8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" o:allowincell="f" fillcolor="#bebebe" strokeweight=".16967mm">
                <v:textbox inset="0,0,0,0">
                  <w:txbxContent>
                    <w:p w14:paraId="2DB96443" w14:textId="77777777" w:rsidR="002C6FC7" w:rsidRDefault="00B52B49">
                      <w:pPr>
                        <w:pStyle w:val="BodyText"/>
                        <w:kinsoku w:val="0"/>
                        <w:overflowPunct w:val="0"/>
                        <w:spacing w:before="18"/>
                        <w:ind w:left="50"/>
                        <w:rPr>
                          <w:b/>
                          <w:bCs/>
                          <w:sz w:val="18"/>
                          <w:szCs w:val="18"/>
                        </w:rPr>
                      </w:pPr>
                      <w:r>
                        <w:rPr>
                          <w:b/>
                          <w:bCs/>
                          <w:sz w:val="18"/>
                          <w:szCs w:val="18"/>
                        </w:rPr>
                        <w:t>Practical Information</w:t>
                      </w:r>
                    </w:p>
                  </w:txbxContent>
                </v:textbox>
                <w10:wrap type="topAndBottom" anchorx="page"/>
              </v:shape>
            </w:pict>
          </mc:Fallback>
        </mc:AlternateContent>
      </w:r>
    </w:p>
    <w:p w14:paraId="2804C8B3" w14:textId="77777777" w:rsidR="002C6FC7" w:rsidRDefault="002C6FC7">
      <w:pPr>
        <w:pStyle w:val="BodyText"/>
        <w:kinsoku w:val="0"/>
        <w:overflowPunct w:val="0"/>
        <w:spacing w:before="8"/>
      </w:pPr>
    </w:p>
    <w:tbl>
      <w:tblPr>
        <w:tblW w:w="0" w:type="auto"/>
        <w:tblInd w:w="102" w:type="dxa"/>
        <w:tblLayout w:type="fixed"/>
        <w:tblCellMar>
          <w:left w:w="0" w:type="dxa"/>
          <w:right w:w="0" w:type="dxa"/>
        </w:tblCellMar>
        <w:tblLook w:val="0000" w:firstRow="0" w:lastRow="0" w:firstColumn="0" w:lastColumn="0" w:noHBand="0" w:noVBand="0"/>
      </w:tblPr>
      <w:tblGrid>
        <w:gridCol w:w="5389"/>
        <w:gridCol w:w="5388"/>
      </w:tblGrid>
      <w:tr w:rsidR="002C6FC7" w14:paraId="201BC68A" w14:textId="77777777">
        <w:trPr>
          <w:trHeight w:val="4893"/>
        </w:trPr>
        <w:tc>
          <w:tcPr>
            <w:tcW w:w="5389" w:type="dxa"/>
            <w:tcBorders>
              <w:top w:val="none" w:sz="6" w:space="0" w:color="auto"/>
              <w:left w:val="none" w:sz="6" w:space="0" w:color="auto"/>
              <w:bottom w:val="none" w:sz="6" w:space="0" w:color="auto"/>
              <w:right w:val="none" w:sz="6" w:space="0" w:color="auto"/>
            </w:tcBorders>
          </w:tcPr>
          <w:p w14:paraId="5A943A6A" w14:textId="77777777" w:rsidR="002C6FC7" w:rsidRDefault="00B52B49">
            <w:pPr>
              <w:pStyle w:val="TableParagraph"/>
              <w:kinsoku w:val="0"/>
              <w:overflowPunct w:val="0"/>
              <w:ind w:left="200" w:right="308"/>
              <w:jc w:val="both"/>
              <w:rPr>
                <w:sz w:val="16"/>
                <w:szCs w:val="16"/>
              </w:rPr>
            </w:pPr>
            <w:r>
              <w:rPr>
                <w:b/>
                <w:bCs/>
                <w:sz w:val="16"/>
                <w:szCs w:val="16"/>
              </w:rPr>
              <w:t xml:space="preserve">Fund Depositary: </w:t>
            </w:r>
            <w:r>
              <w:rPr>
                <w:sz w:val="16"/>
                <w:szCs w:val="16"/>
              </w:rPr>
              <w:t>Northern Trust Fiduciary Services (Ireland) Limited</w:t>
            </w:r>
          </w:p>
          <w:p w14:paraId="0391E7FA" w14:textId="77777777" w:rsidR="002C6FC7" w:rsidRDefault="002C6FC7">
            <w:pPr>
              <w:pStyle w:val="TableParagraph"/>
              <w:kinsoku w:val="0"/>
              <w:overflowPunct w:val="0"/>
              <w:spacing w:before="6"/>
              <w:ind w:left="0"/>
              <w:rPr>
                <w:sz w:val="15"/>
                <w:szCs w:val="15"/>
              </w:rPr>
            </w:pPr>
          </w:p>
          <w:p w14:paraId="4C1FBC5C" w14:textId="0C75C9E4" w:rsidR="002C6FC7" w:rsidRPr="001847EC" w:rsidRDefault="00B52B49" w:rsidP="001847EC">
            <w:pPr>
              <w:pStyle w:val="TableParagraph"/>
              <w:kinsoku w:val="0"/>
              <w:overflowPunct w:val="0"/>
              <w:spacing w:before="1"/>
              <w:ind w:left="200" w:right="308"/>
              <w:jc w:val="both"/>
              <w:rPr>
                <w:sz w:val="16"/>
                <w:szCs w:val="16"/>
              </w:rPr>
            </w:pPr>
            <w:r>
              <w:rPr>
                <w:b/>
                <w:bCs/>
                <w:sz w:val="16"/>
                <w:szCs w:val="16"/>
              </w:rPr>
              <w:t xml:space="preserve">Further Information: </w:t>
            </w:r>
            <w:r>
              <w:rPr>
                <w:sz w:val="16"/>
                <w:szCs w:val="16"/>
              </w:rPr>
              <w:t xml:space="preserve">Copies of the Prospectus and the annual and half-yearly reports </w:t>
            </w:r>
            <w:r w:rsidR="00AF00E7">
              <w:rPr>
                <w:sz w:val="16"/>
                <w:szCs w:val="16"/>
              </w:rPr>
              <w:t xml:space="preserve">of </w:t>
            </w:r>
            <w:r>
              <w:rPr>
                <w:sz w:val="16"/>
                <w:szCs w:val="16"/>
              </w:rPr>
              <w:t xml:space="preserve">the </w:t>
            </w:r>
            <w:r w:rsidR="00AF00E7">
              <w:rPr>
                <w:sz w:val="16"/>
                <w:szCs w:val="16"/>
              </w:rPr>
              <w:t>ICAV</w:t>
            </w:r>
            <w:r>
              <w:rPr>
                <w:sz w:val="16"/>
                <w:szCs w:val="16"/>
              </w:rPr>
              <w:t xml:space="preserve"> are available in English and may be obtained, free of ch</w:t>
            </w:r>
            <w:r w:rsidR="00DC3EAA">
              <w:rPr>
                <w:sz w:val="16"/>
                <w:szCs w:val="16"/>
              </w:rPr>
              <w:t xml:space="preserve">arge, from the Manager </w:t>
            </w:r>
            <w:r>
              <w:rPr>
                <w:sz w:val="16"/>
                <w:szCs w:val="16"/>
              </w:rPr>
              <w:t xml:space="preserve">at 35 Merrion Square East, Dublin 2, Ireland or by visiting </w:t>
            </w:r>
            <w:hyperlink r:id="rId14" w:history="1">
              <w:r>
                <w:rPr>
                  <w:sz w:val="16"/>
                  <w:szCs w:val="16"/>
                </w:rPr>
                <w:t>www.prescient.ie.</w:t>
              </w:r>
            </w:hyperlink>
          </w:p>
          <w:p w14:paraId="5EE34C8E" w14:textId="385676DA" w:rsidR="002C6FC7" w:rsidRPr="001847EC" w:rsidRDefault="00B52B49" w:rsidP="001847EC">
            <w:pPr>
              <w:pStyle w:val="TableParagraph"/>
              <w:kinsoku w:val="0"/>
              <w:overflowPunct w:val="0"/>
              <w:spacing w:before="159"/>
              <w:ind w:left="200" w:right="306"/>
              <w:jc w:val="both"/>
              <w:rPr>
                <w:sz w:val="16"/>
                <w:szCs w:val="16"/>
              </w:rPr>
            </w:pPr>
            <w:r>
              <w:rPr>
                <w:b/>
                <w:bCs/>
                <w:sz w:val="16"/>
                <w:szCs w:val="16"/>
              </w:rPr>
              <w:t xml:space="preserve">Share Price / NAV: </w:t>
            </w:r>
            <w:r>
              <w:rPr>
                <w:sz w:val="16"/>
                <w:szCs w:val="16"/>
              </w:rPr>
              <w:t xml:space="preserve">The net asset value of the Fund is calculated in USD. The unit prices are published in USD on each Business Day. The prices are available from the Investment Manager and the Manager during normal business hours and will be published on Prescient Fund Services (Ireland)'s website at </w:t>
            </w:r>
            <w:hyperlink r:id="rId15" w:history="1">
              <w:r>
                <w:rPr>
                  <w:sz w:val="16"/>
                  <w:szCs w:val="16"/>
                </w:rPr>
                <w:t>www.prescient.ie.</w:t>
              </w:r>
            </w:hyperlink>
          </w:p>
          <w:p w14:paraId="50FCBB7A" w14:textId="77777777" w:rsidR="002C6FC7" w:rsidRDefault="002C6FC7">
            <w:pPr>
              <w:pStyle w:val="TableParagraph"/>
              <w:kinsoku w:val="0"/>
              <w:overflowPunct w:val="0"/>
              <w:spacing w:before="1"/>
              <w:ind w:left="0"/>
              <w:rPr>
                <w:sz w:val="14"/>
                <w:szCs w:val="14"/>
              </w:rPr>
            </w:pPr>
          </w:p>
          <w:p w14:paraId="0AB113A3" w14:textId="77777777" w:rsidR="002C6FC7" w:rsidRDefault="00B52B49">
            <w:pPr>
              <w:pStyle w:val="TableParagraph"/>
              <w:kinsoku w:val="0"/>
              <w:overflowPunct w:val="0"/>
              <w:ind w:left="200" w:right="308"/>
              <w:jc w:val="both"/>
              <w:rPr>
                <w:sz w:val="16"/>
                <w:szCs w:val="16"/>
              </w:rPr>
            </w:pPr>
            <w:r>
              <w:rPr>
                <w:b/>
                <w:bCs/>
                <w:sz w:val="16"/>
                <w:szCs w:val="16"/>
              </w:rPr>
              <w:t xml:space="preserve">Taxation: </w:t>
            </w:r>
            <w:r>
              <w:rPr>
                <w:sz w:val="16"/>
                <w:szCs w:val="16"/>
              </w:rPr>
              <w:t>The Fund is subject to tax laws and regulations of Ireland. Depending on your home country of residence, this might have an impact on your investment. For further details, please speak to an adviser.</w:t>
            </w:r>
          </w:p>
        </w:tc>
        <w:tc>
          <w:tcPr>
            <w:tcW w:w="5388" w:type="dxa"/>
            <w:tcBorders>
              <w:top w:val="none" w:sz="6" w:space="0" w:color="auto"/>
              <w:left w:val="none" w:sz="6" w:space="0" w:color="auto"/>
              <w:bottom w:val="none" w:sz="6" w:space="0" w:color="auto"/>
              <w:right w:val="none" w:sz="6" w:space="0" w:color="auto"/>
            </w:tcBorders>
          </w:tcPr>
          <w:p w14:paraId="4630F175" w14:textId="2774590B" w:rsidR="002C6FC7" w:rsidRPr="001847EC" w:rsidRDefault="00B52B49" w:rsidP="001847EC">
            <w:pPr>
              <w:pStyle w:val="TableParagraph"/>
              <w:kinsoku w:val="0"/>
              <w:overflowPunct w:val="0"/>
              <w:ind w:left="309" w:right="196"/>
              <w:jc w:val="both"/>
              <w:rPr>
                <w:sz w:val="16"/>
                <w:szCs w:val="16"/>
              </w:rPr>
            </w:pPr>
            <w:r w:rsidRPr="00843211">
              <w:rPr>
                <w:b/>
                <w:bCs/>
                <w:sz w:val="16"/>
                <w:szCs w:val="16"/>
              </w:rPr>
              <w:t xml:space="preserve">Switches: </w:t>
            </w:r>
            <w:r w:rsidRPr="00843211">
              <w:rPr>
                <w:sz w:val="16"/>
                <w:szCs w:val="16"/>
              </w:rPr>
              <w:t>You are entitled to switch your shares to shares in</w:t>
            </w:r>
            <w:r w:rsidR="00794938">
              <w:rPr>
                <w:sz w:val="16"/>
                <w:szCs w:val="16"/>
              </w:rPr>
              <w:t xml:space="preserve"> the same class of another sub-f</w:t>
            </w:r>
            <w:r w:rsidRPr="00843211">
              <w:rPr>
                <w:sz w:val="16"/>
                <w:szCs w:val="16"/>
              </w:rPr>
              <w:t>und of</w:t>
            </w:r>
            <w:r w:rsidR="00794938">
              <w:rPr>
                <w:sz w:val="16"/>
                <w:szCs w:val="16"/>
              </w:rPr>
              <w:t xml:space="preserve"> the ICAV, subject to the sub-f</w:t>
            </w:r>
            <w:r w:rsidRPr="00843211">
              <w:rPr>
                <w:sz w:val="16"/>
                <w:szCs w:val="16"/>
              </w:rPr>
              <w:t>und's switching charge - see under "Charges for this Fund". Please refer to the Prospectus for further information on how to switch.</w:t>
            </w:r>
          </w:p>
          <w:p w14:paraId="5EABF017" w14:textId="519972CE" w:rsidR="002C6FC7" w:rsidRDefault="00B52B49" w:rsidP="00A206D9">
            <w:pPr>
              <w:pStyle w:val="TableParagraph"/>
              <w:kinsoku w:val="0"/>
              <w:overflowPunct w:val="0"/>
              <w:spacing w:before="156"/>
              <w:ind w:left="306" w:right="198"/>
              <w:jc w:val="both"/>
              <w:rPr>
                <w:sz w:val="16"/>
                <w:szCs w:val="16"/>
              </w:rPr>
            </w:pPr>
            <w:r>
              <w:rPr>
                <w:b/>
                <w:bCs/>
                <w:sz w:val="16"/>
                <w:szCs w:val="16"/>
              </w:rPr>
              <w:t xml:space="preserve">Fund Structure: </w:t>
            </w:r>
            <w:r>
              <w:rPr>
                <w:sz w:val="16"/>
                <w:szCs w:val="16"/>
              </w:rPr>
              <w:t>This document describ</w:t>
            </w:r>
            <w:r w:rsidR="00CE6BAC">
              <w:rPr>
                <w:sz w:val="16"/>
                <w:szCs w:val="16"/>
              </w:rPr>
              <w:t>es a share class of Aylett Global Equity Fund</w:t>
            </w:r>
            <w:r w:rsidR="00794938">
              <w:rPr>
                <w:sz w:val="16"/>
                <w:szCs w:val="16"/>
              </w:rPr>
              <w:t>, a sub-f</w:t>
            </w:r>
            <w:r>
              <w:rPr>
                <w:sz w:val="16"/>
                <w:szCs w:val="16"/>
              </w:rPr>
              <w:t>und of the ICAV. The asse</w:t>
            </w:r>
            <w:r w:rsidR="00794938">
              <w:rPr>
                <w:sz w:val="16"/>
                <w:szCs w:val="16"/>
              </w:rPr>
              <w:t>ts and liabilities of each sub-f</w:t>
            </w:r>
            <w:r>
              <w:rPr>
                <w:sz w:val="16"/>
                <w:szCs w:val="16"/>
              </w:rPr>
              <w:t>und of the ICAV are segregated subject to the provisions of Irish law. The Prospectus and Periodic Reports are prepared for the entire ICAV. You can find out more information about the ICAV in the Prospectus.</w:t>
            </w:r>
          </w:p>
          <w:p w14:paraId="0526935A" w14:textId="77777777" w:rsidR="002C6FC7" w:rsidRDefault="002C6FC7">
            <w:pPr>
              <w:pStyle w:val="TableParagraph"/>
              <w:kinsoku w:val="0"/>
              <w:overflowPunct w:val="0"/>
              <w:spacing w:before="10"/>
              <w:ind w:left="0"/>
              <w:rPr>
                <w:sz w:val="15"/>
                <w:szCs w:val="15"/>
              </w:rPr>
            </w:pPr>
          </w:p>
          <w:p w14:paraId="0908CA5A" w14:textId="5772E0A6" w:rsidR="002C6FC7" w:rsidRPr="001847EC" w:rsidRDefault="00B52B49" w:rsidP="001847EC">
            <w:pPr>
              <w:pStyle w:val="TableParagraph"/>
              <w:kinsoku w:val="0"/>
              <w:overflowPunct w:val="0"/>
              <w:ind w:left="309" w:right="198"/>
              <w:jc w:val="both"/>
              <w:rPr>
                <w:sz w:val="16"/>
                <w:szCs w:val="16"/>
              </w:rPr>
            </w:pPr>
            <w:r>
              <w:rPr>
                <w:b/>
                <w:bCs/>
                <w:sz w:val="16"/>
                <w:szCs w:val="16"/>
              </w:rPr>
              <w:t xml:space="preserve">Remuneration: </w:t>
            </w:r>
            <w:r>
              <w:rPr>
                <w:sz w:val="16"/>
                <w:szCs w:val="16"/>
              </w:rPr>
              <w:t xml:space="preserve">Details of the up-to-date remuneration policy of the Manager, including, but not limited to, a description of how remuneration and benefits are calculated, the identity of persons responsible for awarding the remuneration and benefits including the composition of the remuneration committee, if any, are available at </w:t>
            </w:r>
            <w:hyperlink r:id="rId16" w:history="1">
              <w:r>
                <w:rPr>
                  <w:sz w:val="16"/>
                  <w:szCs w:val="16"/>
                </w:rPr>
                <w:t>www.prescient.ie.</w:t>
              </w:r>
            </w:hyperlink>
            <w:r>
              <w:rPr>
                <w:sz w:val="16"/>
                <w:szCs w:val="16"/>
              </w:rPr>
              <w:t xml:space="preserve"> A paper copy of the remuneration policy will be made available free of charge upon request from the Manager.</w:t>
            </w:r>
          </w:p>
          <w:p w14:paraId="3147873C" w14:textId="77777777" w:rsidR="002C6FC7" w:rsidRDefault="00B52B49">
            <w:pPr>
              <w:pStyle w:val="TableParagraph"/>
              <w:kinsoku w:val="0"/>
              <w:overflowPunct w:val="0"/>
              <w:spacing w:before="161"/>
              <w:ind w:left="309" w:right="198"/>
              <w:jc w:val="both"/>
              <w:rPr>
                <w:sz w:val="16"/>
                <w:szCs w:val="16"/>
              </w:rPr>
            </w:pPr>
            <w:r>
              <w:rPr>
                <w:b/>
                <w:bCs/>
                <w:sz w:val="16"/>
                <w:szCs w:val="16"/>
              </w:rPr>
              <w:t xml:space="preserve">Responsibility for Information: </w:t>
            </w:r>
            <w:r>
              <w:rPr>
                <w:sz w:val="16"/>
                <w:szCs w:val="16"/>
              </w:rPr>
              <w:t xml:space="preserve">The Manager may be held liable solely </w:t>
            </w:r>
            <w:proofErr w:type="gramStart"/>
            <w:r>
              <w:rPr>
                <w:sz w:val="16"/>
                <w:szCs w:val="16"/>
              </w:rPr>
              <w:t>on the basis of</w:t>
            </w:r>
            <w:proofErr w:type="gramEnd"/>
            <w:r>
              <w:rPr>
                <w:sz w:val="16"/>
                <w:szCs w:val="16"/>
              </w:rPr>
              <w:t xml:space="preserve"> any statement contained in this document that is misleading, inaccurate or inconsistent with the relevant parts of the Prospectus for the</w:t>
            </w:r>
            <w:r>
              <w:rPr>
                <w:spacing w:val="-4"/>
                <w:sz w:val="16"/>
                <w:szCs w:val="16"/>
              </w:rPr>
              <w:t xml:space="preserve"> </w:t>
            </w:r>
            <w:r>
              <w:rPr>
                <w:sz w:val="16"/>
                <w:szCs w:val="16"/>
              </w:rPr>
              <w:t>Fund.</w:t>
            </w:r>
          </w:p>
        </w:tc>
      </w:tr>
      <w:tr w:rsidR="002C6FC7" w:rsidRPr="00DC3EAA" w14:paraId="5F83B8DB" w14:textId="77777777" w:rsidTr="00031861">
        <w:trPr>
          <w:trHeight w:val="312"/>
        </w:trPr>
        <w:tc>
          <w:tcPr>
            <w:tcW w:w="10777" w:type="dxa"/>
            <w:gridSpan w:val="2"/>
            <w:tcBorders>
              <w:top w:val="none" w:sz="6" w:space="0" w:color="auto"/>
              <w:left w:val="none" w:sz="6" w:space="0" w:color="auto"/>
              <w:bottom w:val="none" w:sz="6" w:space="0" w:color="auto"/>
              <w:right w:val="none" w:sz="6" w:space="0" w:color="auto"/>
            </w:tcBorders>
          </w:tcPr>
          <w:p w14:paraId="649C6962" w14:textId="18782BB9" w:rsidR="002C6FC7" w:rsidRPr="00DC3EAA" w:rsidRDefault="00B52B49" w:rsidP="001847EC">
            <w:pPr>
              <w:pStyle w:val="TableParagraph"/>
              <w:kinsoku w:val="0"/>
              <w:overflowPunct w:val="0"/>
              <w:spacing w:before="111" w:line="180" w:lineRule="atLeast"/>
              <w:ind w:left="0" w:right="266"/>
              <w:rPr>
                <w:sz w:val="16"/>
                <w:szCs w:val="16"/>
              </w:rPr>
            </w:pPr>
            <w:r w:rsidRPr="00DC3EAA">
              <w:rPr>
                <w:sz w:val="16"/>
                <w:szCs w:val="16"/>
              </w:rPr>
              <w:t>The ICAV is authorised in Ireland and approved by the Central Bank of Ireland. The Manager is authorised in Ireland and regulated by the Central Bank of Ireland. This Key Information Document is</w:t>
            </w:r>
            <w:r w:rsidR="00DC3EAA">
              <w:rPr>
                <w:sz w:val="16"/>
                <w:szCs w:val="16"/>
              </w:rPr>
              <w:t xml:space="preserve"> accurate as at </w:t>
            </w:r>
            <w:r w:rsidR="00601E99">
              <w:rPr>
                <w:sz w:val="16"/>
                <w:szCs w:val="16"/>
              </w:rPr>
              <w:t>1 November</w:t>
            </w:r>
            <w:r w:rsidR="00B44B07">
              <w:rPr>
                <w:sz w:val="16"/>
                <w:szCs w:val="16"/>
              </w:rPr>
              <w:t>,</w:t>
            </w:r>
            <w:r w:rsidR="00031861">
              <w:rPr>
                <w:sz w:val="16"/>
                <w:szCs w:val="16"/>
              </w:rPr>
              <w:t xml:space="preserve"> 2022.</w:t>
            </w:r>
          </w:p>
        </w:tc>
      </w:tr>
    </w:tbl>
    <w:p w14:paraId="5B5784BF" w14:textId="77777777" w:rsidR="002C6FC7" w:rsidRPr="00DC3EAA" w:rsidRDefault="002C6FC7"/>
    <w:sectPr w:rsidR="002C6FC7" w:rsidRPr="00DC3EAA">
      <w:pgSz w:w="11910" w:h="16840"/>
      <w:pgMar w:top="560" w:right="540" w:bottom="280" w:left="320" w:header="720" w:footer="720" w:gutter="0"/>
      <w:cols w:space="720" w:equalWidth="0">
        <w:col w:w="1105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E9B0B" w14:textId="77777777" w:rsidR="00545A2E" w:rsidRDefault="00545A2E"/>
  </w:endnote>
  <w:endnote w:type="continuationSeparator" w:id="0">
    <w:p w14:paraId="543E0625" w14:textId="77777777" w:rsidR="00545A2E" w:rsidRDefault="00545A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115d4cb9-1e7d-49da-8a87-ee50"/>
  <w:p w14:paraId="010FE919" w14:textId="188FD1BC" w:rsidR="00C64C22" w:rsidRDefault="00C64C22">
    <w:pPr>
      <w:pStyle w:val="DocID"/>
    </w:pPr>
    <w:r>
      <w:fldChar w:fldCharType="begin"/>
    </w:r>
    <w:r>
      <w:instrText xml:space="preserve">  DOCPROPERTY "CUS_DocIDChunk0" </w:instrText>
    </w:r>
    <w:r>
      <w:fldChar w:fldCharType="separate"/>
    </w:r>
    <w:r w:rsidR="00D05BED">
      <w:t>10740095v2</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A9AD4" w14:textId="77777777" w:rsidR="00D05BED" w:rsidRDefault="00D05B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0a075cc3-4249-45b8-a584-f6db"/>
  <w:p w14:paraId="40EEED09" w14:textId="168C8B1F" w:rsidR="00C64C22" w:rsidRDefault="00C64C22">
    <w:pPr>
      <w:pStyle w:val="DocID"/>
    </w:pPr>
    <w:r>
      <w:fldChar w:fldCharType="begin"/>
    </w:r>
    <w:r>
      <w:instrText xml:space="preserve">  DOCPROPERTY "CUS_DocIDChunk0" </w:instrText>
    </w:r>
    <w:r>
      <w:fldChar w:fldCharType="separate"/>
    </w:r>
    <w:r w:rsidR="00D05BED">
      <w:t>10740095v2</w:t>
    </w:r>
    <w:r>
      <w:fldChar w:fldCharType="end"/>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37DEC" w14:textId="77777777" w:rsidR="00545A2E" w:rsidRDefault="00545A2E"/>
  </w:footnote>
  <w:footnote w:type="continuationSeparator" w:id="0">
    <w:p w14:paraId="704C61CB" w14:textId="77777777" w:rsidR="00545A2E" w:rsidRDefault="00545A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01DE" w14:textId="77777777" w:rsidR="00D05BED" w:rsidRDefault="00D05B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EB34A" w14:textId="77777777" w:rsidR="00D05BED" w:rsidRDefault="00D05B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D95E" w14:textId="77777777" w:rsidR="00D05BED" w:rsidRDefault="00D05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301" w:hanging="101"/>
      </w:pPr>
      <w:rPr>
        <w:rFonts w:ascii="Arial" w:hAnsi="Arial" w:cs="Arial"/>
        <w:b w:val="0"/>
        <w:bCs w:val="0"/>
        <w:w w:val="100"/>
        <w:sz w:val="16"/>
        <w:szCs w:val="16"/>
      </w:rPr>
    </w:lvl>
    <w:lvl w:ilvl="1">
      <w:numFmt w:val="bullet"/>
      <w:lvlText w:val="•"/>
      <w:lvlJc w:val="left"/>
      <w:pPr>
        <w:ind w:left="787" w:hanging="101"/>
      </w:pPr>
    </w:lvl>
    <w:lvl w:ilvl="2">
      <w:numFmt w:val="bullet"/>
      <w:lvlText w:val="•"/>
      <w:lvlJc w:val="left"/>
      <w:pPr>
        <w:ind w:left="1275" w:hanging="101"/>
      </w:pPr>
    </w:lvl>
    <w:lvl w:ilvl="3">
      <w:numFmt w:val="bullet"/>
      <w:lvlText w:val="•"/>
      <w:lvlJc w:val="left"/>
      <w:pPr>
        <w:ind w:left="1762" w:hanging="101"/>
      </w:pPr>
    </w:lvl>
    <w:lvl w:ilvl="4">
      <w:numFmt w:val="bullet"/>
      <w:lvlText w:val="•"/>
      <w:lvlJc w:val="left"/>
      <w:pPr>
        <w:ind w:left="2250" w:hanging="101"/>
      </w:pPr>
    </w:lvl>
    <w:lvl w:ilvl="5">
      <w:numFmt w:val="bullet"/>
      <w:lvlText w:val="•"/>
      <w:lvlJc w:val="left"/>
      <w:pPr>
        <w:ind w:left="2737" w:hanging="101"/>
      </w:pPr>
    </w:lvl>
    <w:lvl w:ilvl="6">
      <w:numFmt w:val="bullet"/>
      <w:lvlText w:val="•"/>
      <w:lvlJc w:val="left"/>
      <w:pPr>
        <w:ind w:left="3225" w:hanging="101"/>
      </w:pPr>
    </w:lvl>
    <w:lvl w:ilvl="7">
      <w:numFmt w:val="bullet"/>
      <w:lvlText w:val="•"/>
      <w:lvlJc w:val="left"/>
      <w:pPr>
        <w:ind w:left="3712" w:hanging="101"/>
      </w:pPr>
    </w:lvl>
    <w:lvl w:ilvl="8">
      <w:numFmt w:val="bullet"/>
      <w:lvlText w:val="•"/>
      <w:lvlJc w:val="left"/>
      <w:pPr>
        <w:ind w:left="4200" w:hanging="101"/>
      </w:pPr>
    </w:lvl>
  </w:abstractNum>
  <w:abstractNum w:abstractNumId="1" w15:restartNumberingAfterBreak="0">
    <w:nsid w:val="00000403"/>
    <w:multiLevelType w:val="multilevel"/>
    <w:tmpl w:val="00000886"/>
    <w:lvl w:ilvl="0">
      <w:numFmt w:val="bullet"/>
      <w:lvlText w:val=""/>
      <w:lvlJc w:val="left"/>
      <w:pPr>
        <w:ind w:left="659" w:hanging="358"/>
      </w:pPr>
      <w:rPr>
        <w:rFonts w:ascii="Symbol" w:hAnsi="Symbol" w:cs="Symbol"/>
        <w:b w:val="0"/>
        <w:bCs w:val="0"/>
        <w:w w:val="99"/>
        <w:sz w:val="20"/>
        <w:szCs w:val="20"/>
      </w:rPr>
    </w:lvl>
    <w:lvl w:ilvl="1">
      <w:numFmt w:val="bullet"/>
      <w:lvlText w:val="•"/>
      <w:lvlJc w:val="left"/>
      <w:pPr>
        <w:ind w:left="1151" w:hanging="358"/>
      </w:pPr>
    </w:lvl>
    <w:lvl w:ilvl="2">
      <w:numFmt w:val="bullet"/>
      <w:lvlText w:val="•"/>
      <w:lvlJc w:val="left"/>
      <w:pPr>
        <w:ind w:left="1642" w:hanging="358"/>
      </w:pPr>
    </w:lvl>
    <w:lvl w:ilvl="3">
      <w:numFmt w:val="bullet"/>
      <w:lvlText w:val="•"/>
      <w:lvlJc w:val="left"/>
      <w:pPr>
        <w:ind w:left="2133" w:hanging="358"/>
      </w:pPr>
    </w:lvl>
    <w:lvl w:ilvl="4">
      <w:numFmt w:val="bullet"/>
      <w:lvlText w:val="•"/>
      <w:lvlJc w:val="left"/>
      <w:pPr>
        <w:ind w:left="2624" w:hanging="358"/>
      </w:pPr>
    </w:lvl>
    <w:lvl w:ilvl="5">
      <w:numFmt w:val="bullet"/>
      <w:lvlText w:val="•"/>
      <w:lvlJc w:val="left"/>
      <w:pPr>
        <w:ind w:left="3116" w:hanging="358"/>
      </w:pPr>
    </w:lvl>
    <w:lvl w:ilvl="6">
      <w:numFmt w:val="bullet"/>
      <w:lvlText w:val="•"/>
      <w:lvlJc w:val="left"/>
      <w:pPr>
        <w:ind w:left="3607" w:hanging="358"/>
      </w:pPr>
    </w:lvl>
    <w:lvl w:ilvl="7">
      <w:numFmt w:val="bullet"/>
      <w:lvlText w:val="•"/>
      <w:lvlJc w:val="left"/>
      <w:pPr>
        <w:ind w:left="4098" w:hanging="358"/>
      </w:pPr>
    </w:lvl>
    <w:lvl w:ilvl="8">
      <w:numFmt w:val="bullet"/>
      <w:lvlText w:val="•"/>
      <w:lvlJc w:val="left"/>
      <w:pPr>
        <w:ind w:left="4589" w:hanging="358"/>
      </w:pPr>
    </w:lvl>
  </w:abstractNum>
  <w:abstractNum w:abstractNumId="2" w15:restartNumberingAfterBreak="0">
    <w:nsid w:val="0D49615D"/>
    <w:multiLevelType w:val="hybridMultilevel"/>
    <w:tmpl w:val="02E8D79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178742391">
    <w:abstractNumId w:val="1"/>
  </w:num>
  <w:num w:numId="2" w16cid:durableId="1930263667">
    <w:abstractNumId w:val="0"/>
  </w:num>
  <w:num w:numId="3" w16cid:durableId="1219246283">
    <w:abstractNumId w:val="1"/>
  </w:num>
  <w:num w:numId="4" w16cid:durableId="987173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B49"/>
    <w:rsid w:val="00011EDE"/>
    <w:rsid w:val="000123B1"/>
    <w:rsid w:val="00031861"/>
    <w:rsid w:val="00033920"/>
    <w:rsid w:val="000850E2"/>
    <w:rsid w:val="000A122E"/>
    <w:rsid w:val="001120CD"/>
    <w:rsid w:val="001356E5"/>
    <w:rsid w:val="00146BA5"/>
    <w:rsid w:val="001847EC"/>
    <w:rsid w:val="001D413F"/>
    <w:rsid w:val="00217B16"/>
    <w:rsid w:val="0023487A"/>
    <w:rsid w:val="00261575"/>
    <w:rsid w:val="00263255"/>
    <w:rsid w:val="00291A42"/>
    <w:rsid w:val="002C6FC7"/>
    <w:rsid w:val="002E72FF"/>
    <w:rsid w:val="00334F8F"/>
    <w:rsid w:val="003408CC"/>
    <w:rsid w:val="00370E74"/>
    <w:rsid w:val="003A3C97"/>
    <w:rsid w:val="003E309F"/>
    <w:rsid w:val="003F5F5B"/>
    <w:rsid w:val="003F6EC1"/>
    <w:rsid w:val="0040097C"/>
    <w:rsid w:val="00413D66"/>
    <w:rsid w:val="00425828"/>
    <w:rsid w:val="0043200F"/>
    <w:rsid w:val="00446B85"/>
    <w:rsid w:val="0048326B"/>
    <w:rsid w:val="004F1E9A"/>
    <w:rsid w:val="004F75D9"/>
    <w:rsid w:val="00536AD0"/>
    <w:rsid w:val="00536FCD"/>
    <w:rsid w:val="00545A2E"/>
    <w:rsid w:val="005B1C7C"/>
    <w:rsid w:val="00601E99"/>
    <w:rsid w:val="00655053"/>
    <w:rsid w:val="00687EB2"/>
    <w:rsid w:val="006D6215"/>
    <w:rsid w:val="006D6833"/>
    <w:rsid w:val="00706C28"/>
    <w:rsid w:val="007555F8"/>
    <w:rsid w:val="0077625D"/>
    <w:rsid w:val="00794938"/>
    <w:rsid w:val="00843211"/>
    <w:rsid w:val="008442FF"/>
    <w:rsid w:val="00863F77"/>
    <w:rsid w:val="008864C0"/>
    <w:rsid w:val="00891EE3"/>
    <w:rsid w:val="008C471A"/>
    <w:rsid w:val="00901F72"/>
    <w:rsid w:val="00980BC3"/>
    <w:rsid w:val="009A1A38"/>
    <w:rsid w:val="00A15E79"/>
    <w:rsid w:val="00A206D9"/>
    <w:rsid w:val="00A26D7A"/>
    <w:rsid w:val="00A35DCE"/>
    <w:rsid w:val="00A662B0"/>
    <w:rsid w:val="00AE617A"/>
    <w:rsid w:val="00AF00E7"/>
    <w:rsid w:val="00B3637E"/>
    <w:rsid w:val="00B44B07"/>
    <w:rsid w:val="00B52B49"/>
    <w:rsid w:val="00B75031"/>
    <w:rsid w:val="00C233D4"/>
    <w:rsid w:val="00C551D4"/>
    <w:rsid w:val="00C64C22"/>
    <w:rsid w:val="00C660F4"/>
    <w:rsid w:val="00C96787"/>
    <w:rsid w:val="00CA41AF"/>
    <w:rsid w:val="00CB45BA"/>
    <w:rsid w:val="00CE6BAC"/>
    <w:rsid w:val="00D009B7"/>
    <w:rsid w:val="00D05BED"/>
    <w:rsid w:val="00D300A6"/>
    <w:rsid w:val="00D55058"/>
    <w:rsid w:val="00D93300"/>
    <w:rsid w:val="00D95D2B"/>
    <w:rsid w:val="00DC3EAA"/>
    <w:rsid w:val="00E34108"/>
    <w:rsid w:val="00E67AA4"/>
    <w:rsid w:val="00E707F6"/>
    <w:rsid w:val="00E7735E"/>
    <w:rsid w:val="00E83EB5"/>
    <w:rsid w:val="00E94C36"/>
    <w:rsid w:val="00EB4292"/>
    <w:rsid w:val="00EC2A4B"/>
    <w:rsid w:val="00EC4515"/>
    <w:rsid w:val="00EF6A96"/>
    <w:rsid w:val="00F14BA9"/>
    <w:rsid w:val="00FB0034"/>
    <w:rsid w:val="00FB2755"/>
    <w:rsid w:val="00FB77FE"/>
    <w:rsid w:val="00FD6F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DFF361"/>
  <w14:defaultImageDpi w14:val="96"/>
  <w15:docId w15:val="{F7AD23A9-2FFC-4243-B509-AFA668DD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character" w:customStyle="1" w:styleId="BodyTextChar">
    <w:name w:val="Body Text Char"/>
    <w:basedOn w:val="DefaultParagraphFont"/>
    <w:link w:val="BodyText"/>
    <w:uiPriority w:val="99"/>
    <w:semiHidden/>
    <w:rPr>
      <w:rFonts w:ascii="Arial" w:hAnsi="Arial" w:cs="Arial"/>
    </w:rPr>
  </w:style>
  <w:style w:type="paragraph" w:styleId="ListParagraph">
    <w:name w:val="List Paragraph"/>
    <w:basedOn w:val="Normal"/>
    <w:uiPriority w:val="1"/>
    <w:qFormat/>
    <w:pPr>
      <w:ind w:left="659" w:right="249" w:hanging="358"/>
      <w:jc w:val="both"/>
    </w:pPr>
    <w:rPr>
      <w:sz w:val="24"/>
      <w:szCs w:val="24"/>
    </w:rPr>
  </w:style>
  <w:style w:type="paragraph" w:customStyle="1" w:styleId="TableParagraph">
    <w:name w:val="Table Paragraph"/>
    <w:basedOn w:val="Normal"/>
    <w:uiPriority w:val="1"/>
    <w:qFormat/>
    <w:pPr>
      <w:ind w:left="55"/>
    </w:pPr>
    <w:rPr>
      <w:sz w:val="24"/>
      <w:szCs w:val="24"/>
    </w:rPr>
  </w:style>
  <w:style w:type="paragraph" w:styleId="Header">
    <w:name w:val="header"/>
    <w:basedOn w:val="Normal"/>
    <w:link w:val="HeaderChar"/>
    <w:uiPriority w:val="99"/>
    <w:unhideWhenUsed/>
    <w:rsid w:val="00B52B49"/>
    <w:pPr>
      <w:tabs>
        <w:tab w:val="center" w:pos="4513"/>
        <w:tab w:val="right" w:pos="9026"/>
      </w:tabs>
    </w:pPr>
  </w:style>
  <w:style w:type="character" w:customStyle="1" w:styleId="HeaderChar">
    <w:name w:val="Header Char"/>
    <w:basedOn w:val="DefaultParagraphFont"/>
    <w:link w:val="Header"/>
    <w:uiPriority w:val="99"/>
    <w:rsid w:val="00B52B49"/>
    <w:rPr>
      <w:rFonts w:ascii="Arial" w:hAnsi="Arial" w:cs="Arial"/>
    </w:rPr>
  </w:style>
  <w:style w:type="paragraph" w:styleId="Footer">
    <w:name w:val="footer"/>
    <w:basedOn w:val="Normal"/>
    <w:link w:val="FooterChar"/>
    <w:uiPriority w:val="99"/>
    <w:unhideWhenUsed/>
    <w:rsid w:val="00B52B49"/>
    <w:pPr>
      <w:tabs>
        <w:tab w:val="center" w:pos="4513"/>
        <w:tab w:val="right" w:pos="9026"/>
      </w:tabs>
    </w:pPr>
  </w:style>
  <w:style w:type="character" w:customStyle="1" w:styleId="FooterChar">
    <w:name w:val="Footer Char"/>
    <w:basedOn w:val="DefaultParagraphFont"/>
    <w:link w:val="Footer"/>
    <w:uiPriority w:val="99"/>
    <w:rsid w:val="00B52B49"/>
    <w:rPr>
      <w:rFonts w:ascii="Arial" w:hAnsi="Arial" w:cs="Arial"/>
    </w:rPr>
  </w:style>
  <w:style w:type="character" w:styleId="CommentReference">
    <w:name w:val="annotation reference"/>
    <w:basedOn w:val="DefaultParagraphFont"/>
    <w:uiPriority w:val="99"/>
    <w:semiHidden/>
    <w:unhideWhenUsed/>
    <w:rsid w:val="00FB2755"/>
    <w:rPr>
      <w:sz w:val="16"/>
      <w:szCs w:val="16"/>
    </w:rPr>
  </w:style>
  <w:style w:type="paragraph" w:styleId="CommentText">
    <w:name w:val="annotation text"/>
    <w:basedOn w:val="Normal"/>
    <w:link w:val="CommentTextChar"/>
    <w:uiPriority w:val="99"/>
    <w:semiHidden/>
    <w:unhideWhenUsed/>
    <w:rsid w:val="00FB2755"/>
    <w:rPr>
      <w:sz w:val="20"/>
      <w:szCs w:val="20"/>
    </w:rPr>
  </w:style>
  <w:style w:type="character" w:customStyle="1" w:styleId="CommentTextChar">
    <w:name w:val="Comment Text Char"/>
    <w:basedOn w:val="DefaultParagraphFont"/>
    <w:link w:val="CommentText"/>
    <w:uiPriority w:val="99"/>
    <w:semiHidden/>
    <w:rsid w:val="00FB275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B2755"/>
    <w:rPr>
      <w:b/>
      <w:bCs/>
    </w:rPr>
  </w:style>
  <w:style w:type="character" w:customStyle="1" w:styleId="CommentSubjectChar">
    <w:name w:val="Comment Subject Char"/>
    <w:basedOn w:val="CommentTextChar"/>
    <w:link w:val="CommentSubject"/>
    <w:uiPriority w:val="99"/>
    <w:semiHidden/>
    <w:rsid w:val="00FB2755"/>
    <w:rPr>
      <w:rFonts w:ascii="Arial" w:hAnsi="Arial" w:cs="Arial"/>
      <w:b/>
      <w:bCs/>
      <w:sz w:val="20"/>
      <w:szCs w:val="20"/>
    </w:rPr>
  </w:style>
  <w:style w:type="paragraph" w:styleId="BalloonText">
    <w:name w:val="Balloon Text"/>
    <w:basedOn w:val="Normal"/>
    <w:link w:val="BalloonTextChar"/>
    <w:uiPriority w:val="99"/>
    <w:semiHidden/>
    <w:unhideWhenUsed/>
    <w:rsid w:val="00FB27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755"/>
    <w:rPr>
      <w:rFonts w:ascii="Segoe UI" w:hAnsi="Segoe UI" w:cs="Segoe UI"/>
      <w:sz w:val="18"/>
      <w:szCs w:val="18"/>
    </w:rPr>
  </w:style>
  <w:style w:type="paragraph" w:customStyle="1" w:styleId="DocID">
    <w:name w:val="DocID"/>
    <w:basedOn w:val="Footer"/>
    <w:next w:val="Footer"/>
    <w:link w:val="DocIDChar"/>
    <w:rsid w:val="00CA41AF"/>
    <w:pPr>
      <w:tabs>
        <w:tab w:val="clear" w:pos="4513"/>
        <w:tab w:val="clear" w:pos="9026"/>
      </w:tabs>
    </w:pPr>
    <w:rPr>
      <w:rFonts w:eastAsia="Times New Roman"/>
      <w:sz w:val="18"/>
      <w:szCs w:val="20"/>
    </w:rPr>
  </w:style>
  <w:style w:type="character" w:customStyle="1" w:styleId="DocIDChar">
    <w:name w:val="DocID Char"/>
    <w:basedOn w:val="DefaultParagraphFont"/>
    <w:link w:val="DocID"/>
    <w:rsid w:val="00CA41AF"/>
    <w:rPr>
      <w:rFonts w:ascii="Arial" w:eastAsia="Times New Roman" w:hAnsi="Arial" w:cs="Arial"/>
      <w:sz w:val="18"/>
      <w:szCs w:val="20"/>
      <w:lang w:val="en-IE" w:eastAsia="en-IE"/>
    </w:rPr>
  </w:style>
  <w:style w:type="paragraph" w:styleId="NoSpacing">
    <w:name w:val="No Spacing"/>
    <w:uiPriority w:val="1"/>
    <w:qFormat/>
    <w:rsid w:val="00CB45BA"/>
    <w:pPr>
      <w:spacing w:after="0" w:line="240" w:lineRule="auto"/>
      <w:jc w:val="both"/>
    </w:pPr>
    <w:rPr>
      <w:rFonts w:ascii="Times New Roman" w:eastAsia="Times New Roman" w:hAnsi="Times New Roman" w:cs="Times New Roman"/>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8675">
      <w:bodyDiv w:val="1"/>
      <w:marLeft w:val="0"/>
      <w:marRight w:val="0"/>
      <w:marTop w:val="0"/>
      <w:marBottom w:val="0"/>
      <w:divBdr>
        <w:top w:val="none" w:sz="0" w:space="0" w:color="auto"/>
        <w:left w:val="none" w:sz="0" w:space="0" w:color="auto"/>
        <w:bottom w:val="none" w:sz="0" w:space="0" w:color="auto"/>
        <w:right w:val="none" w:sz="0" w:space="0" w:color="auto"/>
      </w:divBdr>
    </w:div>
    <w:div w:id="83261014">
      <w:bodyDiv w:val="1"/>
      <w:marLeft w:val="0"/>
      <w:marRight w:val="0"/>
      <w:marTop w:val="0"/>
      <w:marBottom w:val="0"/>
      <w:divBdr>
        <w:top w:val="none" w:sz="0" w:space="0" w:color="auto"/>
        <w:left w:val="none" w:sz="0" w:space="0" w:color="auto"/>
        <w:bottom w:val="none" w:sz="0" w:space="0" w:color="auto"/>
        <w:right w:val="none" w:sz="0" w:space="0" w:color="auto"/>
      </w:divBdr>
    </w:div>
    <w:div w:id="96797158">
      <w:bodyDiv w:val="1"/>
      <w:marLeft w:val="0"/>
      <w:marRight w:val="0"/>
      <w:marTop w:val="0"/>
      <w:marBottom w:val="0"/>
      <w:divBdr>
        <w:top w:val="none" w:sz="0" w:space="0" w:color="auto"/>
        <w:left w:val="none" w:sz="0" w:space="0" w:color="auto"/>
        <w:bottom w:val="none" w:sz="0" w:space="0" w:color="auto"/>
        <w:right w:val="none" w:sz="0" w:space="0" w:color="auto"/>
      </w:divBdr>
    </w:div>
    <w:div w:id="234825801">
      <w:bodyDiv w:val="1"/>
      <w:marLeft w:val="0"/>
      <w:marRight w:val="0"/>
      <w:marTop w:val="0"/>
      <w:marBottom w:val="0"/>
      <w:divBdr>
        <w:top w:val="none" w:sz="0" w:space="0" w:color="auto"/>
        <w:left w:val="none" w:sz="0" w:space="0" w:color="auto"/>
        <w:bottom w:val="none" w:sz="0" w:space="0" w:color="auto"/>
        <w:right w:val="none" w:sz="0" w:space="0" w:color="auto"/>
      </w:divBdr>
    </w:div>
    <w:div w:id="287664980">
      <w:bodyDiv w:val="1"/>
      <w:marLeft w:val="0"/>
      <w:marRight w:val="0"/>
      <w:marTop w:val="0"/>
      <w:marBottom w:val="0"/>
      <w:divBdr>
        <w:top w:val="none" w:sz="0" w:space="0" w:color="auto"/>
        <w:left w:val="none" w:sz="0" w:space="0" w:color="auto"/>
        <w:bottom w:val="none" w:sz="0" w:space="0" w:color="auto"/>
        <w:right w:val="none" w:sz="0" w:space="0" w:color="auto"/>
      </w:divBdr>
    </w:div>
    <w:div w:id="335310941">
      <w:bodyDiv w:val="1"/>
      <w:marLeft w:val="0"/>
      <w:marRight w:val="0"/>
      <w:marTop w:val="0"/>
      <w:marBottom w:val="0"/>
      <w:divBdr>
        <w:top w:val="none" w:sz="0" w:space="0" w:color="auto"/>
        <w:left w:val="none" w:sz="0" w:space="0" w:color="auto"/>
        <w:bottom w:val="none" w:sz="0" w:space="0" w:color="auto"/>
        <w:right w:val="none" w:sz="0" w:space="0" w:color="auto"/>
      </w:divBdr>
    </w:div>
    <w:div w:id="364907555">
      <w:bodyDiv w:val="1"/>
      <w:marLeft w:val="0"/>
      <w:marRight w:val="0"/>
      <w:marTop w:val="0"/>
      <w:marBottom w:val="0"/>
      <w:divBdr>
        <w:top w:val="none" w:sz="0" w:space="0" w:color="auto"/>
        <w:left w:val="none" w:sz="0" w:space="0" w:color="auto"/>
        <w:bottom w:val="none" w:sz="0" w:space="0" w:color="auto"/>
        <w:right w:val="none" w:sz="0" w:space="0" w:color="auto"/>
      </w:divBdr>
    </w:div>
    <w:div w:id="406728111">
      <w:bodyDiv w:val="1"/>
      <w:marLeft w:val="0"/>
      <w:marRight w:val="0"/>
      <w:marTop w:val="0"/>
      <w:marBottom w:val="0"/>
      <w:divBdr>
        <w:top w:val="none" w:sz="0" w:space="0" w:color="auto"/>
        <w:left w:val="none" w:sz="0" w:space="0" w:color="auto"/>
        <w:bottom w:val="none" w:sz="0" w:space="0" w:color="auto"/>
        <w:right w:val="none" w:sz="0" w:space="0" w:color="auto"/>
      </w:divBdr>
    </w:div>
    <w:div w:id="434521238">
      <w:bodyDiv w:val="1"/>
      <w:marLeft w:val="0"/>
      <w:marRight w:val="0"/>
      <w:marTop w:val="0"/>
      <w:marBottom w:val="0"/>
      <w:divBdr>
        <w:top w:val="none" w:sz="0" w:space="0" w:color="auto"/>
        <w:left w:val="none" w:sz="0" w:space="0" w:color="auto"/>
        <w:bottom w:val="none" w:sz="0" w:space="0" w:color="auto"/>
        <w:right w:val="none" w:sz="0" w:space="0" w:color="auto"/>
      </w:divBdr>
    </w:div>
    <w:div w:id="505482605">
      <w:bodyDiv w:val="1"/>
      <w:marLeft w:val="0"/>
      <w:marRight w:val="0"/>
      <w:marTop w:val="0"/>
      <w:marBottom w:val="0"/>
      <w:divBdr>
        <w:top w:val="none" w:sz="0" w:space="0" w:color="auto"/>
        <w:left w:val="none" w:sz="0" w:space="0" w:color="auto"/>
        <w:bottom w:val="none" w:sz="0" w:space="0" w:color="auto"/>
        <w:right w:val="none" w:sz="0" w:space="0" w:color="auto"/>
      </w:divBdr>
    </w:div>
    <w:div w:id="560289915">
      <w:bodyDiv w:val="1"/>
      <w:marLeft w:val="0"/>
      <w:marRight w:val="0"/>
      <w:marTop w:val="0"/>
      <w:marBottom w:val="0"/>
      <w:divBdr>
        <w:top w:val="none" w:sz="0" w:space="0" w:color="auto"/>
        <w:left w:val="none" w:sz="0" w:space="0" w:color="auto"/>
        <w:bottom w:val="none" w:sz="0" w:space="0" w:color="auto"/>
        <w:right w:val="none" w:sz="0" w:space="0" w:color="auto"/>
      </w:divBdr>
    </w:div>
    <w:div w:id="701711007">
      <w:bodyDiv w:val="1"/>
      <w:marLeft w:val="0"/>
      <w:marRight w:val="0"/>
      <w:marTop w:val="0"/>
      <w:marBottom w:val="0"/>
      <w:divBdr>
        <w:top w:val="none" w:sz="0" w:space="0" w:color="auto"/>
        <w:left w:val="none" w:sz="0" w:space="0" w:color="auto"/>
        <w:bottom w:val="none" w:sz="0" w:space="0" w:color="auto"/>
        <w:right w:val="none" w:sz="0" w:space="0" w:color="auto"/>
      </w:divBdr>
    </w:div>
    <w:div w:id="1258170104">
      <w:bodyDiv w:val="1"/>
      <w:marLeft w:val="0"/>
      <w:marRight w:val="0"/>
      <w:marTop w:val="0"/>
      <w:marBottom w:val="0"/>
      <w:divBdr>
        <w:top w:val="none" w:sz="0" w:space="0" w:color="auto"/>
        <w:left w:val="none" w:sz="0" w:space="0" w:color="auto"/>
        <w:bottom w:val="none" w:sz="0" w:space="0" w:color="auto"/>
        <w:right w:val="none" w:sz="0" w:space="0" w:color="auto"/>
      </w:divBdr>
    </w:div>
    <w:div w:id="1460027583">
      <w:bodyDiv w:val="1"/>
      <w:marLeft w:val="0"/>
      <w:marRight w:val="0"/>
      <w:marTop w:val="0"/>
      <w:marBottom w:val="0"/>
      <w:divBdr>
        <w:top w:val="none" w:sz="0" w:space="0" w:color="auto"/>
        <w:left w:val="none" w:sz="0" w:space="0" w:color="auto"/>
        <w:bottom w:val="none" w:sz="0" w:space="0" w:color="auto"/>
        <w:right w:val="none" w:sz="0" w:space="0" w:color="auto"/>
      </w:divBdr>
    </w:div>
    <w:div w:id="1517887994">
      <w:bodyDiv w:val="1"/>
      <w:marLeft w:val="0"/>
      <w:marRight w:val="0"/>
      <w:marTop w:val="0"/>
      <w:marBottom w:val="0"/>
      <w:divBdr>
        <w:top w:val="none" w:sz="0" w:space="0" w:color="auto"/>
        <w:left w:val="none" w:sz="0" w:space="0" w:color="auto"/>
        <w:bottom w:val="none" w:sz="0" w:space="0" w:color="auto"/>
        <w:right w:val="none" w:sz="0" w:space="0" w:color="auto"/>
      </w:divBdr>
    </w:div>
    <w:div w:id="1871798865">
      <w:bodyDiv w:val="1"/>
      <w:marLeft w:val="0"/>
      <w:marRight w:val="0"/>
      <w:marTop w:val="0"/>
      <w:marBottom w:val="0"/>
      <w:divBdr>
        <w:top w:val="none" w:sz="0" w:space="0" w:color="auto"/>
        <w:left w:val="none" w:sz="0" w:space="0" w:color="auto"/>
        <w:bottom w:val="none" w:sz="0" w:space="0" w:color="auto"/>
        <w:right w:val="none" w:sz="0" w:space="0" w:color="auto"/>
      </w:divBdr>
    </w:div>
    <w:div w:id="201418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rescient.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prescient.ie/"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prescien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1593</Words>
  <Characters>8528</Characters>
  <Application>Microsoft Office Word</Application>
  <DocSecurity>0</DocSecurity>
  <Lines>71</Lines>
  <Paragraphs>20</Paragraphs>
  <ScaleCrop>false</ScaleCrop>
  <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Lally</dc:creator>
  <cp:keywords/>
  <dc:description/>
  <cp:lastModifiedBy>Emma Lally</cp:lastModifiedBy>
  <cp:revision>2</cp:revision>
  <dcterms:created xsi:type="dcterms:W3CDTF">2022-11-01T14:45:00Z</dcterms:created>
  <dcterms:modified xsi:type="dcterms:W3CDTF">2022-11-01T14:45:00Z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Chunk0">
    <vt:lpwstr>10740095v2</vt:lpwstr>
  </property>
  <property fmtid="{D5CDD505-2E9C-101B-9397-08002B2CF9AE}" pid="3" name="CUS_DocIDActiveBits">
    <vt:lpwstr>98304</vt:lpwstr>
  </property>
  <property fmtid="{D5CDD505-2E9C-101B-9397-08002B2CF9AE}" pid="4" name="CUS_DocIDLocation">
    <vt:lpwstr>EVERY_PAGE</vt:lpwstr>
  </property>
</Properties>
</file>