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2" w:type="dxa"/>
        <w:tblLayout w:type="fixed"/>
        <w:tblCellMar>
          <w:left w:w="0" w:type="dxa"/>
          <w:right w:w="0" w:type="dxa"/>
        </w:tblCellMar>
        <w:tblLook w:val="0000" w:firstRow="0" w:lastRow="0" w:firstColumn="0" w:lastColumn="0" w:noHBand="0" w:noVBand="0"/>
      </w:tblPr>
      <w:tblGrid>
        <w:gridCol w:w="10836"/>
      </w:tblGrid>
      <w:tr w:rsidR="002C6FC7" w14:paraId="6B06666E" w14:textId="77777777">
        <w:trPr>
          <w:trHeight w:val="356"/>
        </w:trPr>
        <w:tc>
          <w:tcPr>
            <w:tcW w:w="10836" w:type="dxa"/>
            <w:tcBorders>
              <w:top w:val="none" w:sz="6" w:space="0" w:color="auto"/>
              <w:left w:val="none" w:sz="6" w:space="0" w:color="auto"/>
              <w:bottom w:val="none" w:sz="6" w:space="0" w:color="auto"/>
              <w:right w:val="none" w:sz="6" w:space="0" w:color="auto"/>
            </w:tcBorders>
          </w:tcPr>
          <w:p w14:paraId="15514D12" w14:textId="77777777" w:rsidR="002C6FC7" w:rsidRDefault="00B52B49">
            <w:pPr>
              <w:pStyle w:val="TableParagraph"/>
              <w:kinsoku w:val="0"/>
              <w:overflowPunct w:val="0"/>
              <w:spacing w:line="314" w:lineRule="exact"/>
              <w:ind w:left="3747" w:right="3750"/>
              <w:jc w:val="center"/>
              <w:rPr>
                <w:b/>
                <w:bCs/>
                <w:sz w:val="28"/>
                <w:szCs w:val="28"/>
              </w:rPr>
            </w:pPr>
            <w:r>
              <w:rPr>
                <w:b/>
                <w:bCs/>
                <w:sz w:val="28"/>
                <w:szCs w:val="28"/>
              </w:rPr>
              <w:t>Key Investor Information</w:t>
            </w:r>
          </w:p>
        </w:tc>
      </w:tr>
      <w:tr w:rsidR="002C6FC7" w14:paraId="2E5A1AB3" w14:textId="77777777">
        <w:trPr>
          <w:trHeight w:val="589"/>
        </w:trPr>
        <w:tc>
          <w:tcPr>
            <w:tcW w:w="10836" w:type="dxa"/>
            <w:tcBorders>
              <w:top w:val="none" w:sz="6" w:space="0" w:color="auto"/>
              <w:left w:val="none" w:sz="6" w:space="0" w:color="auto"/>
              <w:bottom w:val="none" w:sz="6" w:space="0" w:color="auto"/>
              <w:right w:val="none" w:sz="6" w:space="0" w:color="auto"/>
            </w:tcBorders>
          </w:tcPr>
          <w:p w14:paraId="6F948152" w14:textId="77777777" w:rsidR="002C6FC7" w:rsidRDefault="00B52B49">
            <w:pPr>
              <w:pStyle w:val="TableParagraph"/>
              <w:kinsoku w:val="0"/>
              <w:overflowPunct w:val="0"/>
              <w:spacing w:before="38"/>
              <w:ind w:left="200"/>
              <w:rPr>
                <w:b/>
                <w:bCs/>
                <w:sz w:val="16"/>
                <w:szCs w:val="16"/>
              </w:rPr>
            </w:pPr>
            <w:r>
              <w:rPr>
                <w:b/>
                <w:bCs/>
                <w:sz w:val="16"/>
                <w:szCs w:val="16"/>
              </w:rPr>
              <w:t>This document provides you with key investor information about this Fund. It is not marketing material. The information is required by</w:t>
            </w:r>
          </w:p>
          <w:p w14:paraId="2F320E44" w14:textId="77777777" w:rsidR="002C6FC7" w:rsidRDefault="00B52B49">
            <w:pPr>
              <w:pStyle w:val="TableParagraph"/>
              <w:kinsoku w:val="0"/>
              <w:overflowPunct w:val="0"/>
              <w:spacing w:before="5" w:line="182" w:lineRule="exact"/>
              <w:ind w:left="200"/>
              <w:rPr>
                <w:b/>
                <w:bCs/>
                <w:sz w:val="16"/>
                <w:szCs w:val="16"/>
              </w:rPr>
            </w:pPr>
            <w:r>
              <w:rPr>
                <w:b/>
                <w:bCs/>
                <w:sz w:val="16"/>
                <w:szCs w:val="16"/>
              </w:rPr>
              <w:t>law to help you understand the nature and the risks of investing in this Fund. You are advised to read it so you can make an informed decision about whether to invest.</w:t>
            </w:r>
          </w:p>
        </w:tc>
      </w:tr>
    </w:tbl>
    <w:p w14:paraId="51BF1041" w14:textId="77777777" w:rsidR="002C6FC7" w:rsidRDefault="002C6FC7">
      <w:pPr>
        <w:pStyle w:val="BodyText"/>
        <w:kinsoku w:val="0"/>
        <w:overflowPunct w:val="0"/>
        <w:spacing w:before="10"/>
        <w:rPr>
          <w:rFonts w:ascii="Times New Roman" w:hAnsi="Times New Roman" w:cs="Times New Roman"/>
        </w:rPr>
      </w:pPr>
    </w:p>
    <w:tbl>
      <w:tblPr>
        <w:tblW w:w="0" w:type="auto"/>
        <w:tblInd w:w="246" w:type="dxa"/>
        <w:tblLayout w:type="fixed"/>
        <w:tblCellMar>
          <w:left w:w="0" w:type="dxa"/>
          <w:right w:w="0" w:type="dxa"/>
        </w:tblCellMar>
        <w:tblLook w:val="0000" w:firstRow="0" w:lastRow="0" w:firstColumn="0" w:lastColumn="0" w:noHBand="0" w:noVBand="0"/>
      </w:tblPr>
      <w:tblGrid>
        <w:gridCol w:w="10543"/>
      </w:tblGrid>
      <w:tr w:rsidR="002C6FC7" w14:paraId="7CAD067F" w14:textId="77777777">
        <w:trPr>
          <w:trHeight w:val="329"/>
        </w:trPr>
        <w:tc>
          <w:tcPr>
            <w:tcW w:w="10543" w:type="dxa"/>
            <w:tcBorders>
              <w:top w:val="none" w:sz="6" w:space="0" w:color="auto"/>
              <w:left w:val="none" w:sz="6" w:space="0" w:color="auto"/>
              <w:bottom w:val="none" w:sz="6" w:space="0" w:color="auto"/>
              <w:right w:val="none" w:sz="6" w:space="0" w:color="auto"/>
            </w:tcBorders>
            <w:shd w:val="clear" w:color="auto" w:fill="C0C0C0"/>
          </w:tcPr>
          <w:p w14:paraId="29DF758A" w14:textId="77777777" w:rsidR="002C6FC7" w:rsidRDefault="00B52B49">
            <w:pPr>
              <w:pStyle w:val="TableParagraph"/>
              <w:kinsoku w:val="0"/>
              <w:overflowPunct w:val="0"/>
              <w:spacing w:before="34" w:line="275" w:lineRule="exact"/>
              <w:rPr>
                <w:b/>
                <w:bCs/>
              </w:rPr>
            </w:pPr>
            <w:r>
              <w:rPr>
                <w:b/>
                <w:bCs/>
              </w:rPr>
              <w:t xml:space="preserve">Seed Global </w:t>
            </w:r>
            <w:r w:rsidR="00FB2755">
              <w:rPr>
                <w:b/>
                <w:bCs/>
              </w:rPr>
              <w:t xml:space="preserve">Equity </w:t>
            </w:r>
            <w:r>
              <w:rPr>
                <w:b/>
                <w:bCs/>
              </w:rPr>
              <w:t>Fund</w:t>
            </w:r>
          </w:p>
        </w:tc>
      </w:tr>
      <w:tr w:rsidR="002C6FC7" w14:paraId="5103C70F" w14:textId="77777777">
        <w:trPr>
          <w:trHeight w:val="210"/>
        </w:trPr>
        <w:tc>
          <w:tcPr>
            <w:tcW w:w="10543" w:type="dxa"/>
            <w:tcBorders>
              <w:top w:val="none" w:sz="6" w:space="0" w:color="auto"/>
              <w:left w:val="none" w:sz="6" w:space="0" w:color="auto"/>
              <w:bottom w:val="none" w:sz="6" w:space="0" w:color="auto"/>
              <w:right w:val="none" w:sz="6" w:space="0" w:color="auto"/>
            </w:tcBorders>
            <w:shd w:val="clear" w:color="auto" w:fill="C0C0C0"/>
          </w:tcPr>
          <w:p w14:paraId="14DF2E66" w14:textId="77777777" w:rsidR="002C6FC7" w:rsidRDefault="00B52B49">
            <w:pPr>
              <w:pStyle w:val="TableParagraph"/>
              <w:kinsoku w:val="0"/>
              <w:overflowPunct w:val="0"/>
              <w:spacing w:before="15" w:line="176" w:lineRule="exact"/>
              <w:rPr>
                <w:b/>
                <w:bCs/>
                <w:sz w:val="16"/>
                <w:szCs w:val="16"/>
              </w:rPr>
            </w:pPr>
            <w:r>
              <w:rPr>
                <w:b/>
                <w:bCs/>
                <w:sz w:val="16"/>
                <w:szCs w:val="16"/>
              </w:rPr>
              <w:t>a sub-Fund of PRESCIENT GLOBAL FUNDS ICAV (the “ICAV")</w:t>
            </w:r>
          </w:p>
        </w:tc>
      </w:tr>
      <w:tr w:rsidR="002C6FC7" w14:paraId="0F5F77B3" w14:textId="77777777">
        <w:trPr>
          <w:trHeight w:val="238"/>
        </w:trPr>
        <w:tc>
          <w:tcPr>
            <w:tcW w:w="10543" w:type="dxa"/>
            <w:tcBorders>
              <w:top w:val="none" w:sz="6" w:space="0" w:color="auto"/>
              <w:left w:val="none" w:sz="6" w:space="0" w:color="auto"/>
              <w:bottom w:val="none" w:sz="6" w:space="0" w:color="auto"/>
              <w:right w:val="none" w:sz="6" w:space="0" w:color="auto"/>
            </w:tcBorders>
            <w:shd w:val="clear" w:color="auto" w:fill="D9D9D9"/>
          </w:tcPr>
          <w:p w14:paraId="18F879A5" w14:textId="6E195140" w:rsidR="002C6FC7" w:rsidRDefault="00B52B49" w:rsidP="00FB2755">
            <w:pPr>
              <w:pStyle w:val="TableParagraph"/>
              <w:kinsoku w:val="0"/>
              <w:overflowPunct w:val="0"/>
              <w:spacing w:before="20"/>
              <w:rPr>
                <w:b/>
                <w:bCs/>
                <w:sz w:val="16"/>
                <w:szCs w:val="16"/>
              </w:rPr>
            </w:pPr>
            <w:r>
              <w:rPr>
                <w:b/>
                <w:bCs/>
                <w:sz w:val="16"/>
                <w:szCs w:val="16"/>
              </w:rPr>
              <w:t xml:space="preserve">Share Class: </w:t>
            </w:r>
            <w:r w:rsidR="00FB2755">
              <w:rPr>
                <w:b/>
                <w:bCs/>
                <w:sz w:val="16"/>
                <w:szCs w:val="16"/>
              </w:rPr>
              <w:t xml:space="preserve">A USD  </w:t>
            </w:r>
          </w:p>
        </w:tc>
      </w:tr>
      <w:tr w:rsidR="002C6FC7" w14:paraId="2E544AD6" w14:textId="77777777">
        <w:trPr>
          <w:trHeight w:val="212"/>
        </w:trPr>
        <w:tc>
          <w:tcPr>
            <w:tcW w:w="10543" w:type="dxa"/>
            <w:tcBorders>
              <w:top w:val="none" w:sz="6" w:space="0" w:color="auto"/>
              <w:left w:val="none" w:sz="6" w:space="0" w:color="auto"/>
              <w:bottom w:val="none" w:sz="6" w:space="0" w:color="auto"/>
              <w:right w:val="none" w:sz="6" w:space="0" w:color="auto"/>
            </w:tcBorders>
            <w:shd w:val="clear" w:color="auto" w:fill="D9D9D9"/>
          </w:tcPr>
          <w:p w14:paraId="5C7FCFD0" w14:textId="0036FECD" w:rsidR="002C6FC7" w:rsidRDefault="00B52B49">
            <w:pPr>
              <w:pStyle w:val="TableParagraph"/>
              <w:kinsoku w:val="0"/>
              <w:overflowPunct w:val="0"/>
              <w:spacing w:before="29" w:line="164" w:lineRule="exact"/>
              <w:rPr>
                <w:b/>
                <w:bCs/>
                <w:sz w:val="16"/>
                <w:szCs w:val="16"/>
              </w:rPr>
            </w:pPr>
            <w:r>
              <w:rPr>
                <w:b/>
                <w:bCs/>
                <w:sz w:val="16"/>
                <w:szCs w:val="16"/>
              </w:rPr>
              <w:t>This Fund is managed by Prescient Fu</w:t>
            </w:r>
            <w:r w:rsidR="00033920">
              <w:rPr>
                <w:b/>
                <w:bCs/>
                <w:sz w:val="16"/>
                <w:szCs w:val="16"/>
              </w:rPr>
              <w:t>nd Services (Ireland) Limited (t</w:t>
            </w:r>
            <w:r>
              <w:rPr>
                <w:b/>
                <w:bCs/>
                <w:sz w:val="16"/>
                <w:szCs w:val="16"/>
              </w:rPr>
              <w:t>he "Manager")</w:t>
            </w:r>
          </w:p>
        </w:tc>
      </w:tr>
    </w:tbl>
    <w:p w14:paraId="72C7B946" w14:textId="77777777" w:rsidR="002C6FC7" w:rsidRDefault="002C6FC7">
      <w:pPr>
        <w:pStyle w:val="BodyText"/>
        <w:kinsoku w:val="0"/>
        <w:overflowPunct w:val="0"/>
        <w:spacing w:before="1"/>
        <w:rPr>
          <w:rFonts w:ascii="Times New Roman" w:hAnsi="Times New Roman" w:cs="Times New Roman"/>
          <w:sz w:val="27"/>
          <w:szCs w:val="27"/>
        </w:rPr>
      </w:pPr>
    </w:p>
    <w:p w14:paraId="731BA1D8" w14:textId="77777777" w:rsidR="002C6FC7" w:rsidRDefault="00B52B49">
      <w:pPr>
        <w:pStyle w:val="BodyText"/>
        <w:kinsoku w:val="0"/>
        <w:overflowPunct w:val="0"/>
        <w:ind w:left="241"/>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478C6F66" wp14:editId="719A77FD">
                <wp:extent cx="6695440" cy="161925"/>
                <wp:effectExtent l="10160" t="9525" r="5715" b="13335"/>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29540"/>
                        </a:xfrm>
                        <a:prstGeom prst="rect">
                          <a:avLst/>
                        </a:prstGeom>
                        <a:solidFill>
                          <a:srgbClr val="BEBEBE"/>
                        </a:solidFill>
                        <a:ln w="6108" cmpd="sng">
                          <a:solidFill>
                            <a:srgbClr val="000000"/>
                          </a:solidFill>
                          <a:miter lim="800000"/>
                          <a:headEnd/>
                          <a:tailEnd/>
                        </a:ln>
                      </wps:spPr>
                      <wps:txbx>
                        <w:txbxContent>
                          <w:p w14:paraId="7448CE85" w14:textId="77777777" w:rsidR="002C6FC7" w:rsidRDefault="00B52B49">
                            <w:pPr>
                              <w:pStyle w:val="BodyText"/>
                              <w:kinsoku w:val="0"/>
                              <w:overflowPunct w:val="0"/>
                              <w:spacing w:before="18"/>
                              <w:ind w:left="50"/>
                              <w:rPr>
                                <w:b/>
                                <w:bCs/>
                                <w:sz w:val="18"/>
                                <w:szCs w:val="18"/>
                              </w:rPr>
                            </w:pPr>
                            <w:r>
                              <w:rPr>
                                <w:b/>
                                <w:bCs/>
                                <w:sz w:val="18"/>
                                <w:szCs w:val="18"/>
                              </w:rPr>
                              <w:t>Objectives and Investment Policy</w:t>
                            </w:r>
                          </w:p>
                        </w:txbxContent>
                      </wps:txbx>
                      <wps:bodyPr rot="0" vert="horz" wrap="square" lIns="0" tIns="0" rIns="0" bIns="0" anchor="t" anchorCtr="0" upright="1">
                        <a:noAutofit/>
                      </wps:bodyPr>
                    </wps:wsp>
                  </a:graphicData>
                </a:graphic>
              </wp:inline>
            </w:drawing>
          </mc:Choice>
          <mc:Fallback>
            <w:pict>
              <v:shapetype w14:anchorId="478C6F66" id="_x0000_t202" coordsize="21600,21600" o:spt="202" path="m,l,21600r21600,l21600,xe">
                <v:stroke joinstyle="miter"/>
                <v:path gradientshapeok="t" o:connecttype="rect"/>
              </v:shapetype>
              <v:shape id="Text Box 2" o:spid="_x0000_s1026" type="#_x0000_t202" style="width:527.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AFQIAACYEAAAOAAAAZHJzL2Uyb0RvYy54bWysU11v2yAUfZ+0/4B4X+xkS9RZdao2badJ&#10;3YfU7QcQjG004LILiZ39+l1wkk7d9jLNltAFLodzzz1cXo3WsL3CoMHVfD4rOVNOQqNdV/OvX+5f&#10;XXAWonCNMOBUzQ8q8Kv1yxeXg6/UAnowjUJGIC5Ug695H6OviiLIXlkRZuCVo80W0IpIU+yKBsVA&#10;6NYUi7JcFQNg4xGkCoFWb6dNvs74batk/NS2QUVmak7cYh4xj9s0FutLUXUofK/lkYb4BxZWaEeX&#10;nqFuRRRsh/o3KKslQoA2ziTYAtpWS5VroGrm5bNqHnvhVa6FxAn+LFP4f7Dy4/7Rf0YWxxsYqYG5&#10;iOAfQH4LzMGmF65T14gw9Eo0dPE8SVYMPlTHo0nqUIUEsh0+QENNFrsIGWhs0SZVqE5G6NSAw1l0&#10;NUYmaXH5erlaLJacSdqbL94u3+SuFKI6nfYY4jsFlqWg5khNzehi/xBiYiOqU0q6LIDRzb02Jk+w&#10;224Msr0gA9zcpT8X8CzNODbUfDUvya7S+qbmwXWTFn9FK/P3JzSrI5naaFvzi3OSqJKCd67JlotC&#10;mykm9sYdJU0qTnrGcTtSYpJ2C82BxEWYzEuPjYIe8AdnAxmXqH7fCVScmfeOGpRcfgrwFGxPgXCS&#10;jtY8cjaFmzi9hp1H3fWEPFnAwTU1sdVZ3ycWR55kxiz78eEkt/86z1lPz3v9EwAA//8DAFBLAwQU&#10;AAYACAAAACEA+VeLz9oAAAAFAQAADwAAAGRycy9kb3ducmV2LnhtbEyPwU7DMBBE70j8g7VI3Kjd&#10;0hQU4lSoErcIROED3HiJLeJ1FG/awNfjcoHLSqPZnXlbbefQiyOOyUfSsFwoEEhttJ46De9vTzf3&#10;IBIbsqaPhBq+MMG2vryoTGnjiV7xuOdO5BBKpdHgmIdSytQ6DCYt4oCUvY84BsNZjp20oznl8NDL&#10;lVIbGYyn3ODMgDuH7ed+Chnj9mWzvOucavzO0ff03LCXjdbXV/PjAwjGmf+W4Yyfb6DOTIc4kU2i&#10;15Af4d959lSxXoM4aFgVBci6kv/p6x8AAAD//wMAUEsBAi0AFAAGAAgAAAAhALaDOJL+AAAA4QEA&#10;ABMAAAAAAAAAAAAAAAAAAAAAAFtDb250ZW50X1R5cGVzXS54bWxQSwECLQAUAAYACAAAACEAOP0h&#10;/9YAAACUAQAACwAAAAAAAAAAAAAAAAAvAQAAX3JlbHMvLnJlbHNQSwECLQAUAAYACAAAACEAG/wk&#10;QBUCAAAmBAAADgAAAAAAAAAAAAAAAAAuAgAAZHJzL2Uyb0RvYy54bWxQSwECLQAUAAYACAAAACEA&#10;+VeLz9oAAAAFAQAADwAAAAAAAAAAAAAAAABvBAAAZHJzL2Rvd25yZXYueG1sUEsFBgAAAAAEAAQA&#10;8wAAAHYFAAAAAA==&#10;" fillcolor="#bebebe" strokeweight=".16967mm">
                <v:textbox inset="0,0,0,0">
                  <w:txbxContent>
                    <w:p w14:paraId="7448CE85" w14:textId="77777777" w:rsidR="002C6FC7" w:rsidRDefault="00B52B49">
                      <w:pPr>
                        <w:pStyle w:val="BodyText"/>
                        <w:kinsoku w:val="0"/>
                        <w:overflowPunct w:val="0"/>
                        <w:spacing w:before="18"/>
                        <w:ind w:left="50"/>
                        <w:rPr>
                          <w:b/>
                          <w:bCs/>
                          <w:sz w:val="18"/>
                          <w:szCs w:val="18"/>
                        </w:rPr>
                      </w:pPr>
                      <w:r>
                        <w:rPr>
                          <w:b/>
                          <w:bCs/>
                          <w:sz w:val="18"/>
                          <w:szCs w:val="18"/>
                        </w:rPr>
                        <w:t>Objectives and Investment Policy</w:t>
                      </w:r>
                    </w:p>
                  </w:txbxContent>
                </v:textbox>
                <w10:anchorlock/>
              </v:shape>
            </w:pict>
          </mc:Fallback>
        </mc:AlternateContent>
      </w:r>
    </w:p>
    <w:p w14:paraId="061CDF92" w14:textId="77777777" w:rsidR="002C6FC7" w:rsidRDefault="002C6FC7">
      <w:pPr>
        <w:pStyle w:val="BodyText"/>
        <w:kinsoku w:val="0"/>
        <w:overflowPunct w:val="0"/>
        <w:ind w:left="241"/>
        <w:rPr>
          <w:rFonts w:ascii="Times New Roman" w:hAnsi="Times New Roman" w:cs="Times New Roman"/>
          <w:sz w:val="20"/>
          <w:szCs w:val="20"/>
        </w:rPr>
        <w:sectPr w:rsidR="002C6FC7">
          <w:headerReference w:type="even" r:id="rId7"/>
          <w:headerReference w:type="default" r:id="rId8"/>
          <w:footerReference w:type="even" r:id="rId9"/>
          <w:footerReference w:type="default" r:id="rId10"/>
          <w:headerReference w:type="first" r:id="rId11"/>
          <w:footerReference w:type="first" r:id="rId12"/>
          <w:type w:val="continuous"/>
          <w:pgSz w:w="11910" w:h="16840"/>
          <w:pgMar w:top="740" w:right="540" w:bottom="280" w:left="320" w:header="720" w:footer="720" w:gutter="0"/>
          <w:cols w:space="720"/>
          <w:noEndnote/>
        </w:sectPr>
      </w:pPr>
    </w:p>
    <w:p w14:paraId="2D4824C8" w14:textId="77777777" w:rsidR="00A206D9" w:rsidRPr="00A206D9" w:rsidRDefault="00A206D9" w:rsidP="00A206D9">
      <w:pPr>
        <w:pStyle w:val="BodyText"/>
        <w:kinsoku w:val="0"/>
        <w:overflowPunct w:val="0"/>
        <w:ind w:left="246"/>
        <w:jc w:val="both"/>
      </w:pPr>
      <w:r w:rsidRPr="00A206D9">
        <w:t>The Fund's objective is to generate excess returns above its Benchmark, the MSCI ACWI Index (NR).</w:t>
      </w:r>
    </w:p>
    <w:p w14:paraId="43B7D88F" w14:textId="77777777" w:rsidR="00A206D9" w:rsidRPr="00CA41AF" w:rsidRDefault="00A206D9" w:rsidP="00A206D9">
      <w:pPr>
        <w:pStyle w:val="BodyText"/>
        <w:kinsoku w:val="0"/>
        <w:overflowPunct w:val="0"/>
        <w:spacing w:before="1"/>
        <w:jc w:val="both"/>
        <w:rPr>
          <w:highlight w:val="yellow"/>
        </w:rPr>
      </w:pPr>
    </w:p>
    <w:p w14:paraId="52A06DE6" w14:textId="482920A7" w:rsidR="00D95D2B" w:rsidRPr="00CA41AF" w:rsidRDefault="00D95D2B" w:rsidP="00A206D9">
      <w:pPr>
        <w:ind w:left="246"/>
        <w:jc w:val="both"/>
        <w:rPr>
          <w:sz w:val="16"/>
          <w:szCs w:val="16"/>
          <w:lang w:val="en-US" w:eastAsia="en-GB"/>
        </w:rPr>
      </w:pPr>
      <w:r w:rsidRPr="00CA41AF">
        <w:rPr>
          <w:sz w:val="16"/>
          <w:szCs w:val="16"/>
        </w:rPr>
        <w:t>The Fund aims to achieve its objective by investing in a diversified portfolio of global equity and equity- related securities in developed and emerging markets</w:t>
      </w:r>
      <w:r w:rsidR="00CA41AF" w:rsidRPr="00CA41AF">
        <w:rPr>
          <w:sz w:val="16"/>
          <w:szCs w:val="16"/>
        </w:rPr>
        <w:t xml:space="preserve">. </w:t>
      </w:r>
      <w:r w:rsidRPr="00CA41AF">
        <w:rPr>
          <w:sz w:val="16"/>
          <w:szCs w:val="16"/>
        </w:rPr>
        <w:t xml:space="preserve">The Fund will invest in these securities primarily through investment </w:t>
      </w:r>
      <w:r w:rsidR="00CA41AF">
        <w:rPr>
          <w:sz w:val="16"/>
          <w:szCs w:val="16"/>
        </w:rPr>
        <w:t xml:space="preserve">via </w:t>
      </w:r>
      <w:r w:rsidRPr="00CA41AF">
        <w:rPr>
          <w:sz w:val="16"/>
          <w:szCs w:val="16"/>
          <w:lang w:val="en-US" w:eastAsia="en-GB"/>
        </w:rPr>
        <w:t>collective investment schemes</w:t>
      </w:r>
      <w:r w:rsidR="00CA41AF">
        <w:rPr>
          <w:sz w:val="16"/>
          <w:szCs w:val="16"/>
          <w:lang w:val="en-US" w:eastAsia="en-GB"/>
        </w:rPr>
        <w:t xml:space="preserve"> but may </w:t>
      </w:r>
      <w:r w:rsidR="00CA41AF" w:rsidRPr="00CA41AF">
        <w:rPr>
          <w:sz w:val="16"/>
          <w:szCs w:val="16"/>
          <w:lang w:val="en-US" w:eastAsia="en-GB"/>
        </w:rPr>
        <w:t>also invest in such securities directly, at the discretion of the Investment Manager.</w:t>
      </w:r>
    </w:p>
    <w:p w14:paraId="14B26257" w14:textId="1A737129" w:rsidR="00CA41AF" w:rsidRPr="00CA41AF" w:rsidRDefault="00CA41AF" w:rsidP="00A206D9">
      <w:pPr>
        <w:ind w:left="246"/>
        <w:jc w:val="both"/>
        <w:rPr>
          <w:sz w:val="16"/>
          <w:szCs w:val="16"/>
          <w:lang w:val="en-US" w:eastAsia="en-GB"/>
        </w:rPr>
      </w:pPr>
    </w:p>
    <w:p w14:paraId="59C8E54B" w14:textId="2CE84BB4" w:rsidR="00CA41AF" w:rsidRPr="00CA41AF" w:rsidRDefault="00CA41AF" w:rsidP="00A206D9">
      <w:pPr>
        <w:ind w:left="246"/>
        <w:jc w:val="both"/>
        <w:rPr>
          <w:sz w:val="16"/>
          <w:szCs w:val="16"/>
          <w:lang w:val="en-US" w:eastAsia="en-GB"/>
        </w:rPr>
      </w:pPr>
      <w:r w:rsidRPr="00CA41AF">
        <w:rPr>
          <w:sz w:val="16"/>
          <w:szCs w:val="16"/>
          <w:lang w:val="en-US"/>
        </w:rPr>
        <w:t>The Fund may invest up to 100% of</w:t>
      </w:r>
      <w:r>
        <w:rPr>
          <w:sz w:val="16"/>
          <w:szCs w:val="16"/>
          <w:lang w:val="en-US"/>
        </w:rPr>
        <w:t xml:space="preserve"> net assets in collective investment schemes</w:t>
      </w:r>
      <w:r w:rsidRPr="00CA41AF">
        <w:rPr>
          <w:sz w:val="16"/>
          <w:szCs w:val="16"/>
          <w:lang w:val="en-US"/>
        </w:rPr>
        <w:t>, which are</w:t>
      </w:r>
      <w:r>
        <w:rPr>
          <w:sz w:val="16"/>
          <w:szCs w:val="16"/>
          <w:lang w:val="en-US"/>
        </w:rPr>
        <w:t xml:space="preserve"> eligible for investment in accordance with Central Bank requirements and </w:t>
      </w:r>
      <w:r w:rsidRPr="00CA41AF">
        <w:rPr>
          <w:sz w:val="16"/>
          <w:szCs w:val="16"/>
          <w:lang w:val="en-US"/>
        </w:rPr>
        <w:t xml:space="preserve">domiciled in various jurisdictions including </w:t>
      </w:r>
      <w:r w:rsidRPr="00CA41AF">
        <w:rPr>
          <w:sz w:val="16"/>
          <w:szCs w:val="16"/>
        </w:rPr>
        <w:t>the EU (Austria, Belgium, France, Germany, Ireland, Italy, Luxembourg) and the UK</w:t>
      </w:r>
      <w:r>
        <w:rPr>
          <w:sz w:val="16"/>
          <w:szCs w:val="16"/>
        </w:rPr>
        <w:t>.</w:t>
      </w:r>
    </w:p>
    <w:p w14:paraId="23A7430A" w14:textId="77777777" w:rsidR="00D95D2B" w:rsidRPr="00CA41AF" w:rsidRDefault="00D95D2B" w:rsidP="00A206D9">
      <w:pPr>
        <w:ind w:left="246"/>
        <w:jc w:val="both"/>
        <w:rPr>
          <w:sz w:val="16"/>
          <w:szCs w:val="16"/>
          <w:lang w:val="en-US" w:eastAsia="en-GB"/>
        </w:rPr>
      </w:pPr>
    </w:p>
    <w:p w14:paraId="1D4BB15C" w14:textId="6F6EDDA3" w:rsidR="00D93300" w:rsidRPr="00A206D9" w:rsidRDefault="00D95D2B" w:rsidP="00A206D9">
      <w:pPr>
        <w:ind w:left="246"/>
        <w:jc w:val="both"/>
        <w:rPr>
          <w:sz w:val="16"/>
          <w:szCs w:val="16"/>
        </w:rPr>
      </w:pPr>
      <w:r w:rsidRPr="00CA41AF">
        <w:rPr>
          <w:sz w:val="16"/>
          <w:szCs w:val="16"/>
        </w:rPr>
        <w:t>The Fund may invest up to 100% of net assets in equities and equity-related securities comprising common stock, preferred stock, closed-ended investment trusts and non</w:t>
      </w:r>
      <w:r w:rsidR="00CA41AF" w:rsidRPr="00CA41AF">
        <w:rPr>
          <w:sz w:val="16"/>
          <w:szCs w:val="16"/>
        </w:rPr>
        <w:t>-</w:t>
      </w:r>
      <w:r w:rsidRPr="00CA41AF">
        <w:rPr>
          <w:sz w:val="16"/>
          <w:szCs w:val="16"/>
        </w:rPr>
        <w:t>bespoke equity linked notes, which are</w:t>
      </w:r>
      <w:r w:rsidRPr="00A206D9">
        <w:rPr>
          <w:sz w:val="16"/>
          <w:szCs w:val="16"/>
        </w:rPr>
        <w:t xml:space="preserve"> listed or traded on Recognised Exchanges worldwide.  The Fund may invest up to 20% of net assets in real estate investment trusts (REITS), which are a class of equity that invests in real property or real property related loans or interests. </w:t>
      </w:r>
    </w:p>
    <w:p w14:paraId="57D1FA5E" w14:textId="77777777" w:rsidR="00D93300" w:rsidRPr="00A206D9" w:rsidRDefault="00D93300" w:rsidP="00A206D9">
      <w:pPr>
        <w:ind w:left="246"/>
        <w:jc w:val="both"/>
        <w:rPr>
          <w:sz w:val="16"/>
          <w:szCs w:val="16"/>
        </w:rPr>
      </w:pPr>
    </w:p>
    <w:p w14:paraId="6D6AB529" w14:textId="77777777" w:rsidR="00CA41AF" w:rsidRDefault="00D95D2B" w:rsidP="00A206D9">
      <w:pPr>
        <w:ind w:left="246"/>
        <w:jc w:val="both"/>
        <w:rPr>
          <w:sz w:val="16"/>
          <w:szCs w:val="16"/>
        </w:rPr>
      </w:pPr>
      <w:r w:rsidRPr="00A206D9">
        <w:rPr>
          <w:sz w:val="16"/>
          <w:szCs w:val="16"/>
        </w:rPr>
        <w:t xml:space="preserve">The Fund may invest up to 25% of net assets in debt securities and money market instruments issued by governments or corporates comprising certificates of deposit, treasury bills, non- bespoke fixed or floating rate notes and fixed or variable rate commercial paper, fixed and floating rate government bonds, securities issued by supranational organisations and agencies and fixed or floating rate corporate bonds. Such debt securities will have </w:t>
      </w:r>
      <w:r w:rsidR="00D93300" w:rsidRPr="00A206D9">
        <w:rPr>
          <w:sz w:val="16"/>
          <w:szCs w:val="16"/>
        </w:rPr>
        <w:t xml:space="preserve">(or shall be made with issuers who have) </w:t>
      </w:r>
      <w:r w:rsidRPr="00A206D9">
        <w:rPr>
          <w:sz w:val="16"/>
          <w:szCs w:val="16"/>
        </w:rPr>
        <w:t xml:space="preserve">a credit rating or an implied credit rating of “investment grade” at the time </w:t>
      </w:r>
      <w:r w:rsidRPr="00A206D9">
        <w:rPr>
          <w:sz w:val="16"/>
          <w:szCs w:val="16"/>
        </w:rPr>
        <w:t>of investment</w:t>
      </w:r>
      <w:r w:rsidR="00D93300" w:rsidRPr="00A206D9">
        <w:rPr>
          <w:sz w:val="16"/>
          <w:szCs w:val="16"/>
        </w:rPr>
        <w:t>.</w:t>
      </w:r>
      <w:r w:rsidRPr="00A206D9">
        <w:rPr>
          <w:sz w:val="16"/>
          <w:szCs w:val="16"/>
        </w:rPr>
        <w:t xml:space="preserve">   </w:t>
      </w:r>
    </w:p>
    <w:p w14:paraId="00A4C499" w14:textId="77777777" w:rsidR="00CA41AF" w:rsidRDefault="00CA41AF" w:rsidP="00A206D9">
      <w:pPr>
        <w:ind w:left="246"/>
        <w:jc w:val="both"/>
        <w:rPr>
          <w:sz w:val="16"/>
          <w:szCs w:val="16"/>
        </w:rPr>
      </w:pPr>
    </w:p>
    <w:p w14:paraId="36AE0CA2" w14:textId="31B4D038" w:rsidR="00A206D9" w:rsidRDefault="00A206D9" w:rsidP="00A206D9">
      <w:pPr>
        <w:ind w:left="246"/>
        <w:jc w:val="both"/>
        <w:rPr>
          <w:rFonts w:ascii="Times New Roman" w:hAnsi="Times New Roman" w:cs="Times New Roman"/>
          <w:sz w:val="16"/>
          <w:szCs w:val="16"/>
        </w:rPr>
      </w:pPr>
      <w:r w:rsidRPr="00A206D9">
        <w:rPr>
          <w:sz w:val="16"/>
          <w:szCs w:val="16"/>
        </w:rPr>
        <w:t xml:space="preserve">The Fund may also invest directly in global currencies of stable economies (developed markets) for hedging purposes and to reduce risk.  </w:t>
      </w:r>
    </w:p>
    <w:p w14:paraId="592CE366" w14:textId="77777777" w:rsidR="00A206D9" w:rsidRDefault="00A206D9" w:rsidP="00A206D9">
      <w:pPr>
        <w:ind w:left="246"/>
        <w:jc w:val="both"/>
        <w:rPr>
          <w:rFonts w:ascii="Times New Roman" w:hAnsi="Times New Roman" w:cs="Times New Roman"/>
          <w:sz w:val="16"/>
          <w:szCs w:val="16"/>
        </w:rPr>
      </w:pPr>
    </w:p>
    <w:p w14:paraId="13B9BE2D" w14:textId="4E276A7C" w:rsidR="002C6FC7" w:rsidRPr="00A206D9" w:rsidRDefault="004F75D9" w:rsidP="00A206D9">
      <w:pPr>
        <w:ind w:left="246"/>
        <w:jc w:val="both"/>
        <w:rPr>
          <w:sz w:val="16"/>
          <w:szCs w:val="16"/>
        </w:rPr>
      </w:pPr>
      <w:r w:rsidRPr="00A206D9">
        <w:rPr>
          <w:sz w:val="16"/>
          <w:szCs w:val="16"/>
        </w:rPr>
        <w:t xml:space="preserve">Investments will have a global focus insofar as investments are not confined or concentrated in any particular geographic region or market.  </w:t>
      </w:r>
      <w:r w:rsidR="00AF00E7" w:rsidRPr="00A206D9">
        <w:rPr>
          <w:sz w:val="16"/>
          <w:szCs w:val="16"/>
        </w:rPr>
        <w:t>The Fund may have exposures in excess of 30% of the Net Asset Value of the Fund in emerging markets.</w:t>
      </w:r>
    </w:p>
    <w:p w14:paraId="57C18C81" w14:textId="77777777" w:rsidR="00AF00E7" w:rsidRPr="00A206D9" w:rsidRDefault="00AF00E7" w:rsidP="00A206D9">
      <w:pPr>
        <w:pStyle w:val="BodyText"/>
        <w:kinsoku w:val="0"/>
        <w:overflowPunct w:val="0"/>
        <w:ind w:left="246" w:right="250"/>
        <w:jc w:val="both"/>
      </w:pPr>
    </w:p>
    <w:p w14:paraId="373807A2" w14:textId="77777777" w:rsidR="002C6FC7" w:rsidRPr="00A206D9" w:rsidRDefault="00B52B49" w:rsidP="00A206D9">
      <w:pPr>
        <w:pStyle w:val="BodyText"/>
        <w:kinsoku w:val="0"/>
        <w:overflowPunct w:val="0"/>
        <w:ind w:left="246" w:right="250"/>
        <w:jc w:val="both"/>
      </w:pPr>
      <w:r w:rsidRPr="00A206D9">
        <w:t>The Fund's performance is measured against the</w:t>
      </w:r>
      <w:r w:rsidR="00FB2755" w:rsidRPr="00A206D9">
        <w:t xml:space="preserve"> MSCI ACWI </w:t>
      </w:r>
      <w:r w:rsidR="00DC3EAA" w:rsidRPr="00A206D9">
        <w:t xml:space="preserve">Index </w:t>
      </w:r>
      <w:r w:rsidR="00FB2755" w:rsidRPr="00A206D9">
        <w:t>(NR). The  MSCI  (Morgan  Stanley  Capital   International) ACWI   (All Countries   World   Index)   is   a   broad   global  equity index that represents large and  mid-cap  equity performance  across  all  23 developed and 27 emerging markets.</w:t>
      </w:r>
    </w:p>
    <w:p w14:paraId="7B89925D" w14:textId="77777777" w:rsidR="002C6FC7" w:rsidRPr="00A206D9" w:rsidRDefault="002C6FC7" w:rsidP="00A206D9">
      <w:pPr>
        <w:pStyle w:val="BodyText"/>
        <w:kinsoku w:val="0"/>
        <w:overflowPunct w:val="0"/>
      </w:pPr>
    </w:p>
    <w:p w14:paraId="67C0E2AF" w14:textId="77777777" w:rsidR="002C6FC7" w:rsidRPr="00A206D9" w:rsidRDefault="00B52B49" w:rsidP="00A206D9">
      <w:pPr>
        <w:pStyle w:val="BodyText"/>
        <w:kinsoku w:val="0"/>
        <w:overflowPunct w:val="0"/>
        <w:ind w:left="246" w:right="250"/>
        <w:jc w:val="both"/>
      </w:pPr>
      <w:r w:rsidRPr="00A206D9">
        <w:t xml:space="preserve">This Fund is actively managed in reference to the </w:t>
      </w:r>
      <w:r w:rsidR="00FB2755" w:rsidRPr="00A206D9">
        <w:t xml:space="preserve">MSCI ACWI Index (NR) </w:t>
      </w:r>
      <w:r w:rsidRPr="00A206D9">
        <w:t>by virtue of the fact that the investment objective of the Fund is to outperform the</w:t>
      </w:r>
      <w:r w:rsidRPr="00A206D9">
        <w:rPr>
          <w:spacing w:val="-8"/>
        </w:rPr>
        <w:t xml:space="preserve"> </w:t>
      </w:r>
      <w:r w:rsidRPr="00A206D9">
        <w:t>Benchmark.</w:t>
      </w:r>
    </w:p>
    <w:p w14:paraId="6DC538CD" w14:textId="77777777" w:rsidR="002C6FC7" w:rsidRPr="00A206D9" w:rsidRDefault="002C6FC7" w:rsidP="00A206D9">
      <w:pPr>
        <w:pStyle w:val="BodyText"/>
        <w:kinsoku w:val="0"/>
        <w:overflowPunct w:val="0"/>
        <w:spacing w:before="9"/>
      </w:pPr>
    </w:p>
    <w:p w14:paraId="4220F986" w14:textId="77777777" w:rsidR="002C6FC7" w:rsidRPr="00A206D9" w:rsidRDefault="00B52B49" w:rsidP="00A206D9">
      <w:pPr>
        <w:pStyle w:val="BodyText"/>
        <w:kinsoku w:val="0"/>
        <w:overflowPunct w:val="0"/>
        <w:spacing w:before="1"/>
        <w:ind w:left="246" w:right="252"/>
        <w:jc w:val="both"/>
      </w:pPr>
      <w:r w:rsidRPr="00A206D9">
        <w:t>Any income arising from the Fund will be reinvested and it is not intended that the Fund will pay</w:t>
      </w:r>
      <w:r w:rsidRPr="00A206D9">
        <w:rPr>
          <w:spacing w:val="-2"/>
        </w:rPr>
        <w:t xml:space="preserve"> </w:t>
      </w:r>
      <w:r w:rsidRPr="00A206D9">
        <w:t>dividends.</w:t>
      </w:r>
    </w:p>
    <w:p w14:paraId="061156A3" w14:textId="77777777" w:rsidR="002C6FC7" w:rsidRPr="00A206D9" w:rsidRDefault="002C6FC7" w:rsidP="00A206D9">
      <w:pPr>
        <w:pStyle w:val="BodyText"/>
        <w:kinsoku w:val="0"/>
        <w:overflowPunct w:val="0"/>
        <w:spacing w:before="11"/>
      </w:pPr>
    </w:p>
    <w:p w14:paraId="62354D3B" w14:textId="4B070E28" w:rsidR="002C6FC7" w:rsidRPr="00A206D9" w:rsidRDefault="00B52B49" w:rsidP="00A206D9">
      <w:pPr>
        <w:pStyle w:val="BodyText"/>
        <w:kinsoku w:val="0"/>
        <w:overflowPunct w:val="0"/>
        <w:ind w:left="246" w:right="250"/>
        <w:jc w:val="both"/>
        <w:rPr>
          <w:highlight w:val="yellow"/>
        </w:rPr>
      </w:pPr>
      <w:r w:rsidRPr="00A206D9">
        <w:t xml:space="preserve">You may buy and sell shares in the Fund on </w:t>
      </w:r>
      <w:r w:rsidR="004F75D9" w:rsidRPr="00A206D9">
        <w:t xml:space="preserve">any business day in Ireland and </w:t>
      </w:r>
      <w:r w:rsidRPr="00A206D9">
        <w:t>Cape Town, South</w:t>
      </w:r>
      <w:r w:rsidRPr="00A206D9">
        <w:rPr>
          <w:spacing w:val="-4"/>
        </w:rPr>
        <w:t xml:space="preserve"> </w:t>
      </w:r>
      <w:r w:rsidRPr="00A206D9">
        <w:t>Africa.</w:t>
      </w:r>
    </w:p>
    <w:p w14:paraId="31E0BC1B" w14:textId="77777777" w:rsidR="002C6FC7" w:rsidRPr="00A206D9" w:rsidRDefault="002C6FC7" w:rsidP="00A206D9">
      <w:pPr>
        <w:pStyle w:val="BodyText"/>
        <w:kinsoku w:val="0"/>
        <w:overflowPunct w:val="0"/>
        <w:rPr>
          <w:highlight w:val="yellow"/>
        </w:rPr>
      </w:pPr>
    </w:p>
    <w:p w14:paraId="159D3253" w14:textId="239F5179" w:rsidR="002C6FC7" w:rsidRPr="00A206D9" w:rsidRDefault="00B52B49" w:rsidP="00A206D9">
      <w:pPr>
        <w:pStyle w:val="BodyText"/>
        <w:kinsoku w:val="0"/>
        <w:overflowPunct w:val="0"/>
        <w:ind w:left="246" w:right="250"/>
        <w:jc w:val="both"/>
        <w:sectPr w:rsidR="002C6FC7" w:rsidRPr="00A206D9">
          <w:type w:val="continuous"/>
          <w:pgSz w:w="11910" w:h="16840"/>
          <w:pgMar w:top="740" w:right="540" w:bottom="280" w:left="320" w:header="720" w:footer="720" w:gutter="0"/>
          <w:cols w:num="2" w:space="720" w:equalWidth="0">
            <w:col w:w="5308" w:space="219"/>
            <w:col w:w="5523"/>
          </w:cols>
          <w:noEndnote/>
        </w:sectPr>
      </w:pPr>
      <w:r w:rsidRPr="00A206D9">
        <w:t>Unless otherwise defined in this document, all words and expressions defined in the Company's current Prospectus shall have the same meaning herein. Please refer to the "Investment Objectives and Policies" section of the Prospectus and the "Investment Objective and Policy" section of the Sup</w:t>
      </w:r>
      <w:r w:rsidR="00EB4292" w:rsidRPr="00A206D9">
        <w:t>plement for further information.</w:t>
      </w:r>
    </w:p>
    <w:p w14:paraId="4AA05DD0" w14:textId="77777777" w:rsidR="002C6FC7" w:rsidRDefault="002C6FC7" w:rsidP="00A206D9">
      <w:pPr>
        <w:pStyle w:val="BodyText"/>
        <w:kinsoku w:val="0"/>
        <w:overflowPunct w:val="0"/>
        <w:spacing w:before="9"/>
        <w:rPr>
          <w:sz w:val="24"/>
          <w:szCs w:val="24"/>
        </w:rPr>
      </w:pPr>
    </w:p>
    <w:p w14:paraId="053BCF3B" w14:textId="77777777" w:rsidR="002C6FC7" w:rsidRDefault="00B52B49" w:rsidP="00A206D9">
      <w:pPr>
        <w:pStyle w:val="BodyText"/>
        <w:kinsoku w:val="0"/>
        <w:overflowPunct w:val="0"/>
        <w:ind w:left="241"/>
        <w:rPr>
          <w:sz w:val="20"/>
          <w:szCs w:val="20"/>
        </w:rPr>
      </w:pPr>
      <w:r>
        <w:rPr>
          <w:noProof/>
          <w:sz w:val="20"/>
          <w:szCs w:val="20"/>
        </w:rPr>
        <mc:AlternateContent>
          <mc:Choice Requires="wps">
            <w:drawing>
              <wp:inline distT="0" distB="0" distL="0" distR="0" wp14:anchorId="4DFA203E" wp14:editId="1755D674">
                <wp:extent cx="6735778" cy="162962"/>
                <wp:effectExtent l="0" t="0" r="27305" b="27940"/>
                <wp:docPr id="5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778" cy="162962"/>
                        </a:xfrm>
                        <a:prstGeom prst="rect">
                          <a:avLst/>
                        </a:prstGeom>
                        <a:solidFill>
                          <a:srgbClr val="BEBEBE"/>
                        </a:solidFill>
                        <a:ln w="6108" cmpd="sng">
                          <a:solidFill>
                            <a:srgbClr val="000000"/>
                          </a:solidFill>
                          <a:miter lim="800000"/>
                          <a:headEnd/>
                          <a:tailEnd/>
                        </a:ln>
                      </wps:spPr>
                      <wps:txbx>
                        <w:txbxContent>
                          <w:p w14:paraId="15581A59" w14:textId="77777777" w:rsidR="002C6FC7" w:rsidRDefault="00B52B49">
                            <w:pPr>
                              <w:pStyle w:val="BodyText"/>
                              <w:kinsoku w:val="0"/>
                              <w:overflowPunct w:val="0"/>
                              <w:spacing w:before="18"/>
                              <w:ind w:left="50"/>
                              <w:rPr>
                                <w:b/>
                                <w:bCs/>
                                <w:sz w:val="18"/>
                                <w:szCs w:val="18"/>
                              </w:rPr>
                            </w:pPr>
                            <w:r>
                              <w:rPr>
                                <w:b/>
                                <w:bCs/>
                                <w:sz w:val="18"/>
                                <w:szCs w:val="18"/>
                              </w:rPr>
                              <w:t>Risk and Reward Profile of the Fund</w:t>
                            </w:r>
                          </w:p>
                        </w:txbxContent>
                      </wps:txbx>
                      <wps:bodyPr rot="0" vert="horz" wrap="square" lIns="0" tIns="0" rIns="0" bIns="0" anchor="t" anchorCtr="0" upright="1">
                        <a:noAutofit/>
                      </wps:bodyPr>
                    </wps:wsp>
                  </a:graphicData>
                </a:graphic>
              </wp:inline>
            </w:drawing>
          </mc:Choice>
          <mc:Fallback>
            <w:pict>
              <v:shape w14:anchorId="4DFA203E" id="Text Box 3" o:spid="_x0000_s1027" type="#_x0000_t202" style="width:530.4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hcFgIAAC0EAAAOAAAAZHJzL2Uyb0RvYy54bWysU9uO2yAQfa/Uf0C8N3ZSNdlacVa72d2q&#10;0vYibfsBGGMbFTN0ILG3X98BO9leX6raEhpgOJw5c9hejr1hR4Vegy35cpFzpqyEWtu25J8/3b24&#10;4MwHYWthwKqSPyrPL3fPn20HV6gVdGBqhYxArC8GV/IuBFdkmZed6oVfgFOWNhvAXgSaYpvVKAZC&#10;7022yvN1NgDWDkEq72n1Ztrku4TfNEqGD03jVWCm5MQtpBHTWMUx221F0aJwnZYzDfEPLHqhLV16&#10;hroRQbAD6t+gei0RPDRhIaHPoGm0VKkGqmaZ/1LNQyecSrWQON6dZfL/D1a+Pz64j8jCeA0jNTAV&#10;4d09yC+eWdh3wrbqChGGTomaLl5GybLB+WI+GqX2hY8g1fAOamqyOARIQGODfVSF6mSETg14PIuu&#10;xsAkLa43L19tNmQTSXvL9er1epWuEMXptEMf3ijoWQxKjtTUhC6O9z5ENqI4pcTLPBhd32lj0gTb&#10;am+QHQUZ4Po2/jP6T2nGsoGoLPPIo3d1yb1tJy3+ipan709ovQ5kaqP7kl+ck0QRFby1dbJcENpM&#10;MbE3dpY0qjjpGcZqZJp4JL2jwhXUj6QxwuRhenMUdIDfOBvIv8T460Gg4sy8tdSnaPZTgKegOgXC&#10;Sjpa8sDZFO7D9CgODnXbEfLkBAtX1MtGJ5mfWMx0yZNJ/fn9RNP/OE9ZT6989x0AAP//AwBQSwME&#10;FAAGAAgAAAAhAN9zI7vZAAAABQEAAA8AAABkcnMvZG93bnJldi54bWxMj8FOwzAQRO9I/IO1SNyo&#10;3SJSlMapUCVuEYjCB7jxEluN11HstIGvZ8sFLiutZnb2TbWdQy9OOCYfScNyoUAgtdF66jR8vD/f&#10;PYJI2ZA1fSTU8IUJtvX1VWVKG8/0hqd97gSHUCqNBpfzUEqZWofBpEUckFj7jGMwmdexk3Y0Zw4P&#10;vVwpVchgPPEHZwbcOWyP+ykwxv1rsVx3TjV+5+h7emmyl43Wtzfz0wZExjn/meGCzzdQM9MhTmST&#10;6DVwkfw7L5oqFPc4aFg9rEHWlfxPX/8AAAD//wMAUEsBAi0AFAAGAAgAAAAhALaDOJL+AAAA4QEA&#10;ABMAAAAAAAAAAAAAAAAAAAAAAFtDb250ZW50X1R5cGVzXS54bWxQSwECLQAUAAYACAAAACEAOP0h&#10;/9YAAACUAQAACwAAAAAAAAAAAAAAAAAvAQAAX3JlbHMvLnJlbHNQSwECLQAUAAYACAAAACEArQtY&#10;XBYCAAAtBAAADgAAAAAAAAAAAAAAAAAuAgAAZHJzL2Uyb0RvYy54bWxQSwECLQAUAAYACAAAACEA&#10;33Mju9kAAAAFAQAADwAAAAAAAAAAAAAAAABwBAAAZHJzL2Rvd25yZXYueG1sUEsFBgAAAAAEAAQA&#10;8wAAAHYFAAAAAA==&#10;" fillcolor="#bebebe" strokeweight=".16967mm">
                <v:textbox inset="0,0,0,0">
                  <w:txbxContent>
                    <w:p w14:paraId="15581A59" w14:textId="77777777" w:rsidR="002C6FC7" w:rsidRDefault="00B52B49">
                      <w:pPr>
                        <w:pStyle w:val="BodyText"/>
                        <w:kinsoku w:val="0"/>
                        <w:overflowPunct w:val="0"/>
                        <w:spacing w:before="18"/>
                        <w:ind w:left="50"/>
                        <w:rPr>
                          <w:b/>
                          <w:bCs/>
                          <w:sz w:val="18"/>
                          <w:szCs w:val="18"/>
                        </w:rPr>
                      </w:pPr>
                      <w:r>
                        <w:rPr>
                          <w:b/>
                          <w:bCs/>
                          <w:sz w:val="18"/>
                          <w:szCs w:val="18"/>
                        </w:rPr>
                        <w:t>Risk and Reward Profile of the Fund</w:t>
                      </w:r>
                    </w:p>
                  </w:txbxContent>
                </v:textbox>
                <w10:anchorlock/>
              </v:shape>
            </w:pict>
          </mc:Fallback>
        </mc:AlternateContent>
      </w:r>
    </w:p>
    <w:p w14:paraId="6289B5AA" w14:textId="77777777" w:rsidR="002C6FC7" w:rsidRDefault="002C6FC7" w:rsidP="00A206D9">
      <w:pPr>
        <w:pStyle w:val="BodyText"/>
        <w:kinsoku w:val="0"/>
        <w:overflowPunct w:val="0"/>
        <w:spacing w:before="9"/>
        <w:rPr>
          <w:sz w:val="7"/>
          <w:szCs w:val="7"/>
        </w:rPr>
      </w:pPr>
    </w:p>
    <w:p w14:paraId="580B338B" w14:textId="77777777" w:rsidR="002C6FC7" w:rsidRDefault="002C6FC7" w:rsidP="00A206D9">
      <w:pPr>
        <w:pStyle w:val="BodyText"/>
        <w:kinsoku w:val="0"/>
        <w:overflowPunct w:val="0"/>
        <w:spacing w:before="9"/>
        <w:rPr>
          <w:sz w:val="7"/>
          <w:szCs w:val="7"/>
        </w:rPr>
        <w:sectPr w:rsidR="002C6FC7">
          <w:type w:val="continuous"/>
          <w:pgSz w:w="11910" w:h="16840"/>
          <w:pgMar w:top="740" w:right="540" w:bottom="280" w:left="320" w:header="720" w:footer="720" w:gutter="0"/>
          <w:cols w:space="720" w:equalWidth="0">
            <w:col w:w="11050"/>
          </w:cols>
          <w:noEndnote/>
        </w:sectPr>
      </w:pPr>
    </w:p>
    <w:p w14:paraId="40C52DD8" w14:textId="77777777" w:rsidR="002C6FC7" w:rsidRDefault="002C6FC7" w:rsidP="00A206D9">
      <w:pPr>
        <w:pStyle w:val="BodyText"/>
        <w:kinsoku w:val="0"/>
        <w:overflowPunct w:val="0"/>
        <w:spacing w:before="3"/>
        <w:rPr>
          <w:sz w:val="22"/>
          <w:szCs w:val="22"/>
        </w:rPr>
      </w:pPr>
    </w:p>
    <w:p w14:paraId="677C82D8" w14:textId="77777777" w:rsidR="002C6FC7" w:rsidRDefault="00B52B49" w:rsidP="00A206D9">
      <w:pPr>
        <w:pStyle w:val="BodyText"/>
        <w:kinsoku w:val="0"/>
        <w:overflowPunct w:val="0"/>
        <w:ind w:left="522"/>
        <w:rPr>
          <w:sz w:val="20"/>
          <w:szCs w:val="20"/>
        </w:rPr>
      </w:pPr>
      <w:r>
        <w:rPr>
          <w:noProof/>
          <w:sz w:val="20"/>
          <w:szCs w:val="20"/>
        </w:rPr>
        <w:drawing>
          <wp:inline distT="0" distB="0" distL="0" distR="0" wp14:anchorId="7E69F67D" wp14:editId="422213C5">
            <wp:extent cx="2825750" cy="450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25750" cy="450850"/>
                    </a:xfrm>
                    <a:prstGeom prst="rect">
                      <a:avLst/>
                    </a:prstGeom>
                    <a:noFill/>
                    <a:ln>
                      <a:noFill/>
                    </a:ln>
                  </pic:spPr>
                </pic:pic>
              </a:graphicData>
            </a:graphic>
          </wp:inline>
        </w:drawing>
      </w:r>
    </w:p>
    <w:p w14:paraId="2EB48E55" w14:textId="77777777" w:rsidR="002C6FC7" w:rsidRDefault="002C6FC7" w:rsidP="00A206D9">
      <w:pPr>
        <w:pStyle w:val="BodyText"/>
        <w:kinsoku w:val="0"/>
        <w:overflowPunct w:val="0"/>
        <w:spacing w:before="3" w:after="1"/>
        <w:rPr>
          <w:sz w:val="18"/>
          <w:szCs w:val="18"/>
        </w:rPr>
      </w:pPr>
    </w:p>
    <w:tbl>
      <w:tblPr>
        <w:tblW w:w="0" w:type="auto"/>
        <w:tblInd w:w="252" w:type="dxa"/>
        <w:tblLayout w:type="fixed"/>
        <w:tblCellMar>
          <w:left w:w="0" w:type="dxa"/>
          <w:right w:w="0" w:type="dxa"/>
        </w:tblCellMar>
        <w:tblLook w:val="0000" w:firstRow="0" w:lastRow="0" w:firstColumn="0" w:lastColumn="0" w:noHBand="0" w:noVBand="0"/>
      </w:tblPr>
      <w:tblGrid>
        <w:gridCol w:w="713"/>
        <w:gridCol w:w="711"/>
        <w:gridCol w:w="713"/>
        <w:gridCol w:w="713"/>
        <w:gridCol w:w="713"/>
        <w:gridCol w:w="713"/>
        <w:gridCol w:w="713"/>
      </w:tblGrid>
      <w:tr w:rsidR="002C6FC7" w14:paraId="777458C5" w14:textId="77777777" w:rsidTr="003D6846">
        <w:trPr>
          <w:trHeight w:val="357"/>
        </w:trPr>
        <w:tc>
          <w:tcPr>
            <w:tcW w:w="713" w:type="dxa"/>
            <w:tcBorders>
              <w:top w:val="single" w:sz="4" w:space="0" w:color="000000"/>
              <w:left w:val="single" w:sz="4" w:space="0" w:color="000000"/>
              <w:bottom w:val="single" w:sz="4" w:space="0" w:color="000000"/>
              <w:right w:val="single" w:sz="4" w:space="0" w:color="000000"/>
            </w:tcBorders>
          </w:tcPr>
          <w:p w14:paraId="5FC52200" w14:textId="77777777" w:rsidR="002C6FC7" w:rsidRDefault="00B52B49" w:rsidP="00A206D9">
            <w:pPr>
              <w:pStyle w:val="TableParagraph"/>
              <w:kinsoku w:val="0"/>
              <w:overflowPunct w:val="0"/>
              <w:spacing w:before="52"/>
              <w:ind w:left="62"/>
              <w:jc w:val="center"/>
              <w:rPr>
                <w:color w:val="C0C0C0"/>
                <w:sz w:val="22"/>
                <w:szCs w:val="22"/>
              </w:rPr>
            </w:pPr>
            <w:r>
              <w:rPr>
                <w:color w:val="C0C0C0"/>
                <w:sz w:val="22"/>
                <w:szCs w:val="22"/>
              </w:rPr>
              <w:t>1</w:t>
            </w:r>
          </w:p>
        </w:tc>
        <w:tc>
          <w:tcPr>
            <w:tcW w:w="711" w:type="dxa"/>
            <w:tcBorders>
              <w:top w:val="single" w:sz="4" w:space="0" w:color="000000"/>
              <w:left w:val="single" w:sz="4" w:space="0" w:color="000000"/>
              <w:bottom w:val="single" w:sz="4" w:space="0" w:color="000000"/>
              <w:right w:val="single" w:sz="4" w:space="0" w:color="000000"/>
            </w:tcBorders>
          </w:tcPr>
          <w:p w14:paraId="28B65303" w14:textId="77777777" w:rsidR="002C6FC7" w:rsidRDefault="00B52B49" w:rsidP="00A206D9">
            <w:pPr>
              <w:pStyle w:val="TableParagraph"/>
              <w:kinsoku w:val="0"/>
              <w:overflowPunct w:val="0"/>
              <w:spacing w:before="52"/>
              <w:ind w:left="6"/>
              <w:jc w:val="center"/>
              <w:rPr>
                <w:color w:val="C0C0C0"/>
                <w:sz w:val="22"/>
                <w:szCs w:val="22"/>
              </w:rPr>
            </w:pPr>
            <w:r>
              <w:rPr>
                <w:color w:val="C0C0C0"/>
                <w:sz w:val="22"/>
                <w:szCs w:val="22"/>
              </w:rPr>
              <w:t>2</w:t>
            </w:r>
          </w:p>
        </w:tc>
        <w:tc>
          <w:tcPr>
            <w:tcW w:w="713" w:type="dxa"/>
            <w:tcBorders>
              <w:top w:val="single" w:sz="4" w:space="0" w:color="000000"/>
              <w:left w:val="single" w:sz="4" w:space="0" w:color="000000"/>
              <w:bottom w:val="single" w:sz="4" w:space="0" w:color="000000"/>
              <w:right w:val="single" w:sz="4" w:space="0" w:color="000000"/>
            </w:tcBorders>
          </w:tcPr>
          <w:p w14:paraId="759B5AFA" w14:textId="77777777" w:rsidR="002C6FC7" w:rsidRDefault="00B52B49" w:rsidP="00A206D9">
            <w:pPr>
              <w:pStyle w:val="TableParagraph"/>
              <w:kinsoku w:val="0"/>
              <w:overflowPunct w:val="0"/>
              <w:spacing w:before="52"/>
              <w:ind w:left="7"/>
              <w:jc w:val="center"/>
              <w:rPr>
                <w:color w:val="C0C0C0"/>
                <w:sz w:val="22"/>
                <w:szCs w:val="22"/>
              </w:rPr>
            </w:pPr>
            <w:r>
              <w:rPr>
                <w:color w:val="C0C0C0"/>
                <w:sz w:val="22"/>
                <w:szCs w:val="22"/>
              </w:rPr>
              <w:t>3</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FE0E32" w14:textId="77777777" w:rsidR="002C6FC7" w:rsidRDefault="00B52B49" w:rsidP="00A206D9">
            <w:pPr>
              <w:pStyle w:val="TableParagraph"/>
              <w:kinsoku w:val="0"/>
              <w:overflowPunct w:val="0"/>
              <w:spacing w:before="52"/>
              <w:ind w:left="2"/>
              <w:jc w:val="center"/>
              <w:rPr>
                <w:sz w:val="22"/>
                <w:szCs w:val="22"/>
              </w:rPr>
            </w:pPr>
            <w:r w:rsidRPr="00FB2755">
              <w:rPr>
                <w:color w:val="D0CECE" w:themeColor="background2" w:themeShade="E6"/>
                <w:sz w:val="22"/>
                <w:szCs w:val="22"/>
              </w:rPr>
              <w:t>4</w:t>
            </w:r>
          </w:p>
        </w:tc>
        <w:tc>
          <w:tcPr>
            <w:tcW w:w="71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738B3A" w14:textId="77777777" w:rsidR="002C6FC7" w:rsidRPr="00B75031" w:rsidRDefault="00B52B49" w:rsidP="00A206D9">
            <w:pPr>
              <w:pStyle w:val="TableParagraph"/>
              <w:kinsoku w:val="0"/>
              <w:overflowPunct w:val="0"/>
              <w:spacing w:before="52"/>
              <w:ind w:left="2"/>
              <w:jc w:val="center"/>
              <w:rPr>
                <w:b/>
                <w:color w:val="C0C0C0"/>
                <w:sz w:val="22"/>
                <w:szCs w:val="22"/>
              </w:rPr>
            </w:pPr>
            <w:r w:rsidRPr="003D6846">
              <w:rPr>
                <w:b/>
                <w:color w:val="D9D9D9" w:themeColor="background1" w:themeShade="D9"/>
                <w:sz w:val="22"/>
                <w:szCs w:val="22"/>
              </w:rPr>
              <w:t>5</w:t>
            </w:r>
          </w:p>
        </w:tc>
        <w:tc>
          <w:tcPr>
            <w:tcW w:w="71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7FB0FB98" w14:textId="77777777" w:rsidR="002C6FC7" w:rsidRPr="003D6846" w:rsidRDefault="00B52B49" w:rsidP="00A206D9">
            <w:pPr>
              <w:pStyle w:val="TableParagraph"/>
              <w:kinsoku w:val="0"/>
              <w:overflowPunct w:val="0"/>
              <w:spacing w:before="52"/>
              <w:ind w:left="2"/>
              <w:jc w:val="center"/>
              <w:rPr>
                <w:b/>
                <w:bCs/>
                <w:color w:val="C0C0C0"/>
                <w:sz w:val="22"/>
                <w:szCs w:val="22"/>
              </w:rPr>
            </w:pPr>
            <w:r w:rsidRPr="003D6846">
              <w:rPr>
                <w:b/>
                <w:bCs/>
                <w:sz w:val="22"/>
                <w:szCs w:val="22"/>
              </w:rPr>
              <w:t>6</w:t>
            </w:r>
          </w:p>
        </w:tc>
        <w:tc>
          <w:tcPr>
            <w:tcW w:w="713" w:type="dxa"/>
            <w:tcBorders>
              <w:top w:val="single" w:sz="4" w:space="0" w:color="000000"/>
              <w:left w:val="single" w:sz="4" w:space="0" w:color="000000"/>
              <w:bottom w:val="single" w:sz="4" w:space="0" w:color="000000"/>
              <w:right w:val="single" w:sz="4" w:space="0" w:color="000000"/>
            </w:tcBorders>
          </w:tcPr>
          <w:p w14:paraId="43B0FA05" w14:textId="77777777" w:rsidR="002C6FC7" w:rsidRDefault="00B52B49" w:rsidP="00A206D9">
            <w:pPr>
              <w:pStyle w:val="TableParagraph"/>
              <w:kinsoku w:val="0"/>
              <w:overflowPunct w:val="0"/>
              <w:spacing w:before="52"/>
              <w:ind w:left="1"/>
              <w:jc w:val="center"/>
              <w:rPr>
                <w:color w:val="C0C0C0"/>
                <w:sz w:val="22"/>
                <w:szCs w:val="22"/>
              </w:rPr>
            </w:pPr>
            <w:r>
              <w:rPr>
                <w:color w:val="C0C0C0"/>
                <w:sz w:val="22"/>
                <w:szCs w:val="22"/>
              </w:rPr>
              <w:t>7</w:t>
            </w:r>
          </w:p>
        </w:tc>
      </w:tr>
    </w:tbl>
    <w:p w14:paraId="457E7E4B" w14:textId="77777777" w:rsidR="002C6FC7" w:rsidRDefault="002C6FC7" w:rsidP="00A206D9">
      <w:pPr>
        <w:pStyle w:val="BodyText"/>
        <w:kinsoku w:val="0"/>
        <w:overflowPunct w:val="0"/>
        <w:spacing w:before="1"/>
      </w:pPr>
    </w:p>
    <w:p w14:paraId="20BFDF7C" w14:textId="77777777" w:rsidR="002C6FC7" w:rsidRDefault="00B52B49" w:rsidP="00A206D9">
      <w:pPr>
        <w:pStyle w:val="BodyText"/>
        <w:kinsoku w:val="0"/>
        <w:overflowPunct w:val="0"/>
        <w:spacing w:before="1"/>
        <w:ind w:left="301" w:right="25"/>
      </w:pPr>
      <w:r>
        <w:t>The indicator above is not a measure of the risk of capital loss, but a measure of the Fund's price movement over time.</w:t>
      </w:r>
    </w:p>
    <w:p w14:paraId="7BED6286" w14:textId="77777777" w:rsidR="002C6FC7" w:rsidRDefault="002C6FC7" w:rsidP="00A206D9">
      <w:pPr>
        <w:pStyle w:val="BodyText"/>
        <w:kinsoku w:val="0"/>
        <w:overflowPunct w:val="0"/>
        <w:spacing w:before="11"/>
        <w:rPr>
          <w:sz w:val="15"/>
          <w:szCs w:val="15"/>
        </w:rPr>
      </w:pPr>
    </w:p>
    <w:p w14:paraId="5CE99DA6" w14:textId="77777777" w:rsidR="002C6FC7" w:rsidRDefault="00B52B49" w:rsidP="00A206D9">
      <w:pPr>
        <w:pStyle w:val="ListParagraph"/>
        <w:numPr>
          <w:ilvl w:val="0"/>
          <w:numId w:val="2"/>
        </w:numPr>
        <w:tabs>
          <w:tab w:val="left" w:pos="403"/>
        </w:tabs>
        <w:kinsoku w:val="0"/>
        <w:overflowPunct w:val="0"/>
        <w:ind w:right="597"/>
        <w:jc w:val="left"/>
        <w:rPr>
          <w:sz w:val="16"/>
          <w:szCs w:val="16"/>
        </w:rPr>
      </w:pPr>
      <w:r>
        <w:rPr>
          <w:sz w:val="16"/>
          <w:szCs w:val="16"/>
        </w:rPr>
        <w:t xml:space="preserve">It is based on historical data </w:t>
      </w:r>
      <w:r w:rsidR="00D55058" w:rsidRPr="00D55058">
        <w:rPr>
          <w:sz w:val="16"/>
          <w:szCs w:val="16"/>
        </w:rPr>
        <w:t>or, where historical data is not available, us</w:t>
      </w:r>
      <w:r w:rsidR="00D55058">
        <w:rPr>
          <w:sz w:val="16"/>
          <w:szCs w:val="16"/>
        </w:rPr>
        <w:t xml:space="preserve">ing simulated historical data </w:t>
      </w:r>
      <w:r>
        <w:rPr>
          <w:sz w:val="16"/>
          <w:szCs w:val="16"/>
        </w:rPr>
        <w:t>and thus may not be a reliable indication for the</w:t>
      </w:r>
      <w:r>
        <w:rPr>
          <w:spacing w:val="-7"/>
          <w:sz w:val="16"/>
          <w:szCs w:val="16"/>
        </w:rPr>
        <w:t xml:space="preserve"> </w:t>
      </w:r>
      <w:r>
        <w:rPr>
          <w:sz w:val="16"/>
          <w:szCs w:val="16"/>
        </w:rPr>
        <w:t>future.</w:t>
      </w:r>
    </w:p>
    <w:p w14:paraId="0951C399" w14:textId="77777777" w:rsidR="002C6FC7" w:rsidRDefault="002C6FC7" w:rsidP="00A206D9">
      <w:pPr>
        <w:pStyle w:val="BodyText"/>
        <w:kinsoku w:val="0"/>
        <w:overflowPunct w:val="0"/>
      </w:pPr>
    </w:p>
    <w:p w14:paraId="20C97357" w14:textId="77777777" w:rsidR="002C6FC7" w:rsidRDefault="00B52B49" w:rsidP="00A206D9">
      <w:pPr>
        <w:pStyle w:val="ListParagraph"/>
        <w:numPr>
          <w:ilvl w:val="0"/>
          <w:numId w:val="2"/>
        </w:numPr>
        <w:tabs>
          <w:tab w:val="left" w:pos="403"/>
        </w:tabs>
        <w:kinsoku w:val="0"/>
        <w:overflowPunct w:val="0"/>
        <w:ind w:right="226" w:firstLine="0"/>
        <w:jc w:val="left"/>
        <w:rPr>
          <w:sz w:val="16"/>
          <w:szCs w:val="16"/>
        </w:rPr>
      </w:pPr>
      <w:r>
        <w:rPr>
          <w:sz w:val="16"/>
          <w:szCs w:val="16"/>
        </w:rPr>
        <w:t>The indicated risk category is not guaranteed and may shift over time.</w:t>
      </w:r>
    </w:p>
    <w:p w14:paraId="6B5A9144" w14:textId="77777777" w:rsidR="002C6FC7" w:rsidRDefault="002C6FC7" w:rsidP="00A206D9">
      <w:pPr>
        <w:pStyle w:val="BodyText"/>
        <w:kinsoku w:val="0"/>
        <w:overflowPunct w:val="0"/>
      </w:pPr>
    </w:p>
    <w:p w14:paraId="0C83D48B" w14:textId="77777777" w:rsidR="002C6FC7" w:rsidRDefault="00B52B49" w:rsidP="00A206D9">
      <w:pPr>
        <w:pStyle w:val="ListParagraph"/>
        <w:numPr>
          <w:ilvl w:val="0"/>
          <w:numId w:val="2"/>
        </w:numPr>
        <w:tabs>
          <w:tab w:val="left" w:pos="403"/>
        </w:tabs>
        <w:kinsoku w:val="0"/>
        <w:overflowPunct w:val="0"/>
        <w:ind w:right="56" w:firstLine="0"/>
        <w:jc w:val="left"/>
        <w:rPr>
          <w:sz w:val="16"/>
          <w:szCs w:val="16"/>
        </w:rPr>
      </w:pPr>
      <w:r>
        <w:rPr>
          <w:sz w:val="16"/>
          <w:szCs w:val="16"/>
        </w:rPr>
        <w:t>The indicator is designed to help investors understand the uncertainties both for loss and for growth that may affect their investment. In this context, the lowest category does not mean "risk free".</w:t>
      </w:r>
    </w:p>
    <w:p w14:paraId="387D8F45" w14:textId="77777777" w:rsidR="002C6FC7" w:rsidRDefault="002C6FC7" w:rsidP="00A206D9">
      <w:pPr>
        <w:pStyle w:val="BodyText"/>
        <w:kinsoku w:val="0"/>
        <w:overflowPunct w:val="0"/>
        <w:spacing w:before="10"/>
        <w:rPr>
          <w:sz w:val="15"/>
          <w:szCs w:val="15"/>
        </w:rPr>
      </w:pPr>
    </w:p>
    <w:p w14:paraId="43EE1B70" w14:textId="77777777" w:rsidR="002C6FC7" w:rsidRDefault="00B52B49" w:rsidP="00A206D9">
      <w:pPr>
        <w:pStyle w:val="ListParagraph"/>
        <w:numPr>
          <w:ilvl w:val="0"/>
          <w:numId w:val="2"/>
        </w:numPr>
        <w:tabs>
          <w:tab w:val="left" w:pos="403"/>
        </w:tabs>
        <w:kinsoku w:val="0"/>
        <w:overflowPunct w:val="0"/>
        <w:ind w:right="207" w:firstLine="0"/>
        <w:jc w:val="left"/>
        <w:rPr>
          <w:sz w:val="16"/>
          <w:szCs w:val="16"/>
        </w:rPr>
      </w:pPr>
      <w:r>
        <w:rPr>
          <w:sz w:val="16"/>
          <w:szCs w:val="16"/>
        </w:rPr>
        <w:t>The Fund is classified in the category indicated above du</w:t>
      </w:r>
      <w:r w:rsidR="00DC3EAA">
        <w:rPr>
          <w:sz w:val="16"/>
          <w:szCs w:val="16"/>
        </w:rPr>
        <w:t xml:space="preserve">e to the past behaviour of </w:t>
      </w:r>
      <w:r>
        <w:rPr>
          <w:sz w:val="16"/>
          <w:szCs w:val="16"/>
        </w:rPr>
        <w:t>its target asset</w:t>
      </w:r>
      <w:r>
        <w:rPr>
          <w:spacing w:val="3"/>
          <w:sz w:val="16"/>
          <w:szCs w:val="16"/>
        </w:rPr>
        <w:t xml:space="preserve"> </w:t>
      </w:r>
      <w:r>
        <w:rPr>
          <w:sz w:val="16"/>
          <w:szCs w:val="16"/>
        </w:rPr>
        <w:t>mix.</w:t>
      </w:r>
    </w:p>
    <w:p w14:paraId="209F7B92" w14:textId="77777777" w:rsidR="002C6FC7" w:rsidRDefault="002C6FC7" w:rsidP="00A206D9">
      <w:pPr>
        <w:pStyle w:val="BodyText"/>
        <w:kinsoku w:val="0"/>
        <w:overflowPunct w:val="0"/>
      </w:pPr>
    </w:p>
    <w:p w14:paraId="21544863" w14:textId="77777777" w:rsidR="002C6FC7" w:rsidRDefault="00B52B49" w:rsidP="00A206D9">
      <w:pPr>
        <w:pStyle w:val="ListParagraph"/>
        <w:numPr>
          <w:ilvl w:val="0"/>
          <w:numId w:val="2"/>
        </w:numPr>
        <w:tabs>
          <w:tab w:val="left" w:pos="403"/>
        </w:tabs>
        <w:kinsoku w:val="0"/>
        <w:overflowPunct w:val="0"/>
        <w:ind w:right="350" w:firstLine="0"/>
        <w:jc w:val="left"/>
        <w:rPr>
          <w:sz w:val="16"/>
          <w:szCs w:val="16"/>
        </w:rPr>
      </w:pPr>
      <w:r>
        <w:rPr>
          <w:sz w:val="16"/>
          <w:szCs w:val="16"/>
        </w:rPr>
        <w:t>The Fund does not provide its investors with any guarantee on performance, nor on the monies invested in</w:t>
      </w:r>
      <w:r>
        <w:rPr>
          <w:spacing w:val="-9"/>
          <w:sz w:val="16"/>
          <w:szCs w:val="16"/>
        </w:rPr>
        <w:t xml:space="preserve"> </w:t>
      </w:r>
      <w:r>
        <w:rPr>
          <w:sz w:val="16"/>
          <w:szCs w:val="16"/>
        </w:rPr>
        <w:t>it.</w:t>
      </w:r>
    </w:p>
    <w:p w14:paraId="3969C838" w14:textId="77777777" w:rsidR="002C6FC7" w:rsidRDefault="00B52B49" w:rsidP="00A206D9">
      <w:pPr>
        <w:pStyle w:val="BodyText"/>
        <w:kinsoku w:val="0"/>
        <w:overflowPunct w:val="0"/>
        <w:spacing w:before="96"/>
        <w:ind w:left="301" w:right="249"/>
        <w:jc w:val="both"/>
        <w:rPr>
          <w:b/>
          <w:bCs/>
        </w:rPr>
      </w:pPr>
      <w:r>
        <w:rPr>
          <w:rFonts w:ascii="Times New Roman" w:hAnsi="Times New Roman" w:cs="Times New Roman"/>
          <w:sz w:val="24"/>
          <w:szCs w:val="24"/>
        </w:rPr>
        <w:br w:type="column"/>
      </w:r>
      <w:r>
        <w:rPr>
          <w:b/>
          <w:bCs/>
        </w:rPr>
        <w:t>In addition to the risk captured by the indicator, the overall Fund value may be considerably affected by:</w:t>
      </w:r>
    </w:p>
    <w:p w14:paraId="2A32E669" w14:textId="525E2E78" w:rsidR="002C6FC7" w:rsidRPr="00D55058" w:rsidRDefault="00B52B49" w:rsidP="00A206D9">
      <w:pPr>
        <w:pStyle w:val="ListParagraph"/>
        <w:numPr>
          <w:ilvl w:val="0"/>
          <w:numId w:val="1"/>
        </w:numPr>
        <w:tabs>
          <w:tab w:val="left" w:pos="660"/>
        </w:tabs>
        <w:kinsoku w:val="0"/>
        <w:overflowPunct w:val="0"/>
        <w:spacing w:before="63"/>
        <w:rPr>
          <w:sz w:val="16"/>
          <w:szCs w:val="16"/>
        </w:rPr>
      </w:pPr>
      <w:r>
        <w:rPr>
          <w:b/>
          <w:bCs/>
          <w:sz w:val="16"/>
          <w:szCs w:val="16"/>
        </w:rPr>
        <w:t xml:space="preserve">Currency Risk </w:t>
      </w:r>
      <w:r>
        <w:rPr>
          <w:sz w:val="16"/>
          <w:szCs w:val="16"/>
        </w:rPr>
        <w:t>- the Fund may be expose</w:t>
      </w:r>
      <w:r w:rsidR="00D55058">
        <w:rPr>
          <w:sz w:val="16"/>
          <w:szCs w:val="16"/>
        </w:rPr>
        <w:t xml:space="preserve">d to currency risk in relation </w:t>
      </w:r>
      <w:r>
        <w:rPr>
          <w:sz w:val="16"/>
          <w:szCs w:val="16"/>
        </w:rPr>
        <w:t>the valuation of assets held in currencies other than USD</w:t>
      </w:r>
      <w:r w:rsidR="001D413F" w:rsidRPr="001D413F">
        <w:t xml:space="preserve"> </w:t>
      </w:r>
      <w:r w:rsidR="001D413F" w:rsidRPr="001D413F">
        <w:rPr>
          <w:sz w:val="16"/>
          <w:szCs w:val="16"/>
        </w:rPr>
        <w:t>which fluctuate significan</w:t>
      </w:r>
      <w:r w:rsidR="001D413F">
        <w:rPr>
          <w:sz w:val="16"/>
          <w:szCs w:val="16"/>
        </w:rPr>
        <w:t>tly over a short period of time</w:t>
      </w:r>
      <w:r>
        <w:rPr>
          <w:sz w:val="16"/>
          <w:szCs w:val="16"/>
        </w:rPr>
        <w:t>.</w:t>
      </w:r>
      <w:r w:rsidR="00D55058">
        <w:rPr>
          <w:sz w:val="16"/>
          <w:szCs w:val="16"/>
        </w:rPr>
        <w:t xml:space="preserve"> </w:t>
      </w:r>
    </w:p>
    <w:p w14:paraId="7DBE0A5B" w14:textId="77777777" w:rsidR="002C6FC7" w:rsidRDefault="00B52B49" w:rsidP="00A206D9">
      <w:pPr>
        <w:pStyle w:val="ListParagraph"/>
        <w:numPr>
          <w:ilvl w:val="0"/>
          <w:numId w:val="1"/>
        </w:numPr>
        <w:tabs>
          <w:tab w:val="left" w:pos="660"/>
        </w:tabs>
        <w:kinsoku w:val="0"/>
        <w:overflowPunct w:val="0"/>
        <w:spacing w:before="65"/>
        <w:rPr>
          <w:sz w:val="16"/>
          <w:szCs w:val="16"/>
        </w:rPr>
      </w:pPr>
      <w:r>
        <w:rPr>
          <w:b/>
          <w:bCs/>
          <w:sz w:val="16"/>
          <w:szCs w:val="16"/>
        </w:rPr>
        <w:t xml:space="preserve">Political Risk </w:t>
      </w:r>
      <w:r>
        <w:rPr>
          <w:sz w:val="16"/>
          <w:szCs w:val="16"/>
        </w:rPr>
        <w:t>- the investments may be affected by uncertainties such as political or diplomatic developments, social and religious instability, or changes in government polic</w:t>
      </w:r>
      <w:r w:rsidR="00D55058">
        <w:rPr>
          <w:sz w:val="16"/>
          <w:szCs w:val="16"/>
        </w:rPr>
        <w:t>i</w:t>
      </w:r>
      <w:r>
        <w:rPr>
          <w:sz w:val="16"/>
          <w:szCs w:val="16"/>
        </w:rPr>
        <w:t>es, tax and interest rates.</w:t>
      </w:r>
    </w:p>
    <w:p w14:paraId="7EA03872" w14:textId="77777777" w:rsidR="002C6FC7" w:rsidRDefault="00B52B49" w:rsidP="00A206D9">
      <w:pPr>
        <w:pStyle w:val="ListParagraph"/>
        <w:numPr>
          <w:ilvl w:val="0"/>
          <w:numId w:val="1"/>
        </w:numPr>
        <w:tabs>
          <w:tab w:val="left" w:pos="660"/>
        </w:tabs>
        <w:kinsoku w:val="0"/>
        <w:overflowPunct w:val="0"/>
        <w:spacing w:before="68"/>
        <w:rPr>
          <w:sz w:val="16"/>
          <w:szCs w:val="16"/>
        </w:rPr>
      </w:pPr>
      <w:r>
        <w:rPr>
          <w:b/>
          <w:bCs/>
          <w:sz w:val="16"/>
          <w:szCs w:val="16"/>
        </w:rPr>
        <w:t xml:space="preserve">Settlement Risk </w:t>
      </w:r>
      <w:r>
        <w:rPr>
          <w:sz w:val="16"/>
          <w:szCs w:val="16"/>
        </w:rPr>
        <w:t>- reliability of trading and settlement systems may not be the same as more developed markets, resulting in delays in receiving proceeds when selling</w:t>
      </w:r>
      <w:r>
        <w:rPr>
          <w:spacing w:val="-4"/>
          <w:sz w:val="16"/>
          <w:szCs w:val="16"/>
        </w:rPr>
        <w:t xml:space="preserve"> </w:t>
      </w:r>
      <w:r>
        <w:rPr>
          <w:sz w:val="16"/>
          <w:szCs w:val="16"/>
        </w:rPr>
        <w:t>shares.</w:t>
      </w:r>
    </w:p>
    <w:p w14:paraId="63A26320" w14:textId="0DAFE38A" w:rsidR="002C6FC7" w:rsidRDefault="00B52B49" w:rsidP="00A206D9">
      <w:pPr>
        <w:pStyle w:val="ListParagraph"/>
        <w:numPr>
          <w:ilvl w:val="0"/>
          <w:numId w:val="1"/>
        </w:numPr>
        <w:tabs>
          <w:tab w:val="left" w:pos="660"/>
        </w:tabs>
        <w:kinsoku w:val="0"/>
        <w:overflowPunct w:val="0"/>
        <w:spacing w:before="66"/>
        <w:ind w:right="250"/>
        <w:rPr>
          <w:sz w:val="16"/>
          <w:szCs w:val="16"/>
        </w:rPr>
      </w:pPr>
      <w:r>
        <w:rPr>
          <w:b/>
          <w:bCs/>
          <w:sz w:val="16"/>
          <w:szCs w:val="16"/>
        </w:rPr>
        <w:t xml:space="preserve">Liquidity Risk </w:t>
      </w:r>
      <w:r>
        <w:rPr>
          <w:sz w:val="16"/>
          <w:szCs w:val="16"/>
        </w:rPr>
        <w:t>- certain stock</w:t>
      </w:r>
      <w:r w:rsidR="00A206D9">
        <w:rPr>
          <w:sz w:val="16"/>
          <w:szCs w:val="16"/>
        </w:rPr>
        <w:t xml:space="preserve"> </w:t>
      </w:r>
      <w:r>
        <w:rPr>
          <w:sz w:val="16"/>
          <w:szCs w:val="16"/>
        </w:rPr>
        <w:t>markets have low liquidity which means it may be more difficult to buy or sell shares than on a more developed</w:t>
      </w:r>
      <w:r>
        <w:rPr>
          <w:spacing w:val="-3"/>
          <w:sz w:val="16"/>
          <w:szCs w:val="16"/>
        </w:rPr>
        <w:t xml:space="preserve"> </w:t>
      </w:r>
      <w:r>
        <w:rPr>
          <w:sz w:val="16"/>
          <w:szCs w:val="16"/>
        </w:rPr>
        <w:t>market.</w:t>
      </w:r>
    </w:p>
    <w:p w14:paraId="0BAD3B1C" w14:textId="77777777" w:rsidR="002C6FC7" w:rsidRDefault="00B52B49" w:rsidP="00A206D9">
      <w:pPr>
        <w:pStyle w:val="ListParagraph"/>
        <w:numPr>
          <w:ilvl w:val="0"/>
          <w:numId w:val="1"/>
        </w:numPr>
        <w:tabs>
          <w:tab w:val="left" w:pos="660"/>
        </w:tabs>
        <w:kinsoku w:val="0"/>
        <w:overflowPunct w:val="0"/>
        <w:spacing w:before="59"/>
        <w:ind w:right="248"/>
        <w:rPr>
          <w:sz w:val="16"/>
          <w:szCs w:val="16"/>
        </w:rPr>
      </w:pPr>
      <w:r>
        <w:rPr>
          <w:b/>
          <w:bCs/>
          <w:sz w:val="16"/>
          <w:szCs w:val="16"/>
        </w:rPr>
        <w:t xml:space="preserve">Accounting Standards Risk </w:t>
      </w:r>
      <w:r>
        <w:rPr>
          <w:sz w:val="16"/>
          <w:szCs w:val="16"/>
        </w:rPr>
        <w:t>- Companies in emerging markets may not be subject to similar accounting standards to major markets, so there is a risk that their value could fluctuate significantly.</w:t>
      </w:r>
    </w:p>
    <w:p w14:paraId="0FC15D31" w14:textId="77777777" w:rsidR="002C6FC7" w:rsidRDefault="00B52B49" w:rsidP="00A206D9">
      <w:pPr>
        <w:pStyle w:val="ListParagraph"/>
        <w:numPr>
          <w:ilvl w:val="0"/>
          <w:numId w:val="1"/>
        </w:numPr>
        <w:tabs>
          <w:tab w:val="left" w:pos="660"/>
        </w:tabs>
        <w:kinsoku w:val="0"/>
        <w:overflowPunct w:val="0"/>
        <w:spacing w:before="59"/>
        <w:ind w:right="247"/>
        <w:rPr>
          <w:sz w:val="16"/>
          <w:szCs w:val="16"/>
        </w:rPr>
      </w:pPr>
      <w:r>
        <w:rPr>
          <w:b/>
          <w:bCs/>
          <w:sz w:val="16"/>
          <w:szCs w:val="16"/>
        </w:rPr>
        <w:t xml:space="preserve">Custodial Risk </w:t>
      </w:r>
      <w:r>
        <w:rPr>
          <w:sz w:val="16"/>
          <w:szCs w:val="16"/>
        </w:rPr>
        <w:t>- custody services may be underdeveloped, meaning that a Fund may have difficulties in establishing ownership of some investments, so could suffer losses as a result.</w:t>
      </w:r>
    </w:p>
    <w:p w14:paraId="7153B8BE" w14:textId="77777777" w:rsidR="002C6FC7" w:rsidRDefault="00B52B49" w:rsidP="00A206D9">
      <w:pPr>
        <w:pStyle w:val="BodyText"/>
        <w:kinsoku w:val="0"/>
        <w:overflowPunct w:val="0"/>
        <w:spacing w:before="56"/>
        <w:ind w:left="301" w:right="251"/>
        <w:jc w:val="both"/>
      </w:pPr>
      <w:r>
        <w:t xml:space="preserve">Please refer to the "Risk Factors" section of the Prospectus </w:t>
      </w:r>
      <w:r w:rsidR="00DC3EAA">
        <w:t xml:space="preserve">and the Supplement </w:t>
      </w:r>
      <w:r>
        <w:t>for further information - see under "Practical Information" for how to obtain a copy.</w:t>
      </w:r>
    </w:p>
    <w:p w14:paraId="33E349F5" w14:textId="77777777" w:rsidR="002C6FC7" w:rsidRDefault="002C6FC7">
      <w:pPr>
        <w:pStyle w:val="BodyText"/>
        <w:kinsoku w:val="0"/>
        <w:overflowPunct w:val="0"/>
        <w:spacing w:before="56"/>
        <w:ind w:left="301" w:right="251"/>
        <w:jc w:val="both"/>
        <w:sectPr w:rsidR="002C6FC7">
          <w:type w:val="continuous"/>
          <w:pgSz w:w="11910" w:h="16840"/>
          <w:pgMar w:top="740" w:right="540" w:bottom="280" w:left="320" w:header="720" w:footer="720" w:gutter="0"/>
          <w:cols w:num="2" w:space="720" w:equalWidth="0">
            <w:col w:w="5176" w:space="296"/>
            <w:col w:w="5578"/>
          </w:cols>
          <w:noEndnote/>
        </w:sectPr>
      </w:pPr>
    </w:p>
    <w:p w14:paraId="31991C70" w14:textId="77777777" w:rsidR="002C6FC7" w:rsidRDefault="00B52B49">
      <w:pPr>
        <w:pStyle w:val="BodyText"/>
        <w:kinsoku w:val="0"/>
        <w:overflowPunct w:val="0"/>
        <w:ind w:left="241"/>
        <w:rPr>
          <w:sz w:val="20"/>
          <w:szCs w:val="20"/>
        </w:rPr>
      </w:pPr>
      <w:r>
        <w:rPr>
          <w:noProof/>
          <w:sz w:val="20"/>
          <w:szCs w:val="20"/>
        </w:rPr>
        <w:lastRenderedPageBreak/>
        <mc:AlternateContent>
          <mc:Choice Requires="wps">
            <w:drawing>
              <wp:inline distT="0" distB="0" distL="0" distR="0" wp14:anchorId="305D37DF" wp14:editId="03352E8C">
                <wp:extent cx="6695440" cy="161925"/>
                <wp:effectExtent l="10160" t="12700" r="5715" b="10160"/>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129540"/>
                        </a:xfrm>
                        <a:prstGeom prst="rect">
                          <a:avLst/>
                        </a:prstGeom>
                        <a:solidFill>
                          <a:srgbClr val="BEBEBE"/>
                        </a:solidFill>
                        <a:ln w="6108" cmpd="sng">
                          <a:solidFill>
                            <a:srgbClr val="000000"/>
                          </a:solidFill>
                          <a:miter lim="800000"/>
                          <a:headEnd/>
                          <a:tailEnd/>
                        </a:ln>
                      </wps:spPr>
                      <wps:txbx>
                        <w:txbxContent>
                          <w:p w14:paraId="0424A813" w14:textId="77777777" w:rsidR="002C6FC7" w:rsidRDefault="00B52B49">
                            <w:pPr>
                              <w:pStyle w:val="BodyText"/>
                              <w:kinsoku w:val="0"/>
                              <w:overflowPunct w:val="0"/>
                              <w:spacing w:before="18"/>
                              <w:ind w:left="50"/>
                              <w:rPr>
                                <w:b/>
                                <w:bCs/>
                                <w:sz w:val="18"/>
                                <w:szCs w:val="18"/>
                              </w:rPr>
                            </w:pPr>
                            <w:r>
                              <w:rPr>
                                <w:b/>
                                <w:bCs/>
                                <w:sz w:val="18"/>
                                <w:szCs w:val="18"/>
                              </w:rPr>
                              <w:t>Charges for the Fund</w:t>
                            </w:r>
                          </w:p>
                        </w:txbxContent>
                      </wps:txbx>
                      <wps:bodyPr rot="0" vert="horz" wrap="square" lIns="0" tIns="0" rIns="0" bIns="0" anchor="t" anchorCtr="0" upright="1">
                        <a:noAutofit/>
                      </wps:bodyPr>
                    </wps:wsp>
                  </a:graphicData>
                </a:graphic>
              </wp:inline>
            </w:drawing>
          </mc:Choice>
          <mc:Fallback>
            <w:pict>
              <v:shape w14:anchorId="305D37DF" id="Text Box 4" o:spid="_x0000_s1028" type="#_x0000_t202" style="width:527.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jKGgIAAC0EAAAOAAAAZHJzL2Uyb0RvYy54bWysU11v0zAUfUfiP1h+p0kDrUa0dNq6DSGN&#10;D2nwAxzHSSwcX3PtNim/nmun7dCAF0QiWdf29fG55x5fXk2DYXuFXoOt+HKRc6ashEbbruJfv9y/&#10;uuDMB2EbYcCqih+U51ebly8uR1eqAnowjUJGINaXo6t4H4Irs8zLXg3CL8ApS5st4CACTbHLGhQj&#10;oQ8mK/J8nY2AjUOQyntavZ03+Sbht62S4VPbehWYqThxC2nENNZxzDaXouxQuF7LIw3xDywGoS1d&#10;eoa6FUGwHerfoAYtETy0YSFhyKBttVSpBqpmmT+r5rEXTqVaSBzvzjL5/wcrP+4f3WdkYbqBiRqY&#10;ivDuAeQ3zyxse2E7dY0IY69EQxcvo2TZ6Hx5PBql9qWPIPX4ARpqstgFSEBTi0NUhepkhE4NOJxF&#10;V1NgkhZXr1frolhxJmlvWbxdvUldyUR5Ou3Qh3cKBhaDiiM1NaGL/YMPkY0oTynxMg9GN/famDTB&#10;rt4aZHtBBri5i38q4FmasWys+HqZk13l4JqKe9vNWvwVLU/fn9AGHcjURg8VvzgniTIqeGebZLkg&#10;tJljYm/sUdKo4qxnmOqJaeJRxAuiwjU0B9IYYfYwvTkKesAfnI3kX2L8fSdQcWbeW+pTNPspwFNQ&#10;nwJhJR2teOBsDrdhfhQ7h7rrCXl2goVr6mWrk8xPLI50yZNJ/eP7iab/dZ6ynl755icAAAD//wMA&#10;UEsDBBQABgAIAAAAIQD5V4vP2gAAAAUBAAAPAAAAZHJzL2Rvd25yZXYueG1sTI/BTsMwEETvSPyD&#10;tUjcqN3SFBTiVKgStwhE4QPceIkt4nUUb9rA1+NygctKo9mdeVtt59CLI47JR9KwXCgQSG20njoN&#10;729PN/cgEhuypo+EGr4wwba+vKhMaeOJXvG4507kEEql0eCYh1LK1DoMJi3igJS9jzgGw1mOnbSj&#10;OeXw0MuVUhsZjKfc4MyAO4ft534KGeP2ZbO865xq/M7R9/TcsJeN1tdX8+MDCMaZ/5bhjJ9voM5M&#10;hziRTaLXkB/h33n2VLFegzhoWBUFyLqS/+nrHwAAAP//AwBQSwECLQAUAAYACAAAACEAtoM4kv4A&#10;AADhAQAAEwAAAAAAAAAAAAAAAAAAAAAAW0NvbnRlbnRfVHlwZXNdLnhtbFBLAQItABQABgAIAAAA&#10;IQA4/SH/1gAAAJQBAAALAAAAAAAAAAAAAAAAAC8BAABfcmVscy8ucmVsc1BLAQItABQABgAIAAAA&#10;IQDXwtjKGgIAAC0EAAAOAAAAAAAAAAAAAAAAAC4CAABkcnMvZTJvRG9jLnhtbFBLAQItABQABgAI&#10;AAAAIQD5V4vP2gAAAAUBAAAPAAAAAAAAAAAAAAAAAHQEAABkcnMvZG93bnJldi54bWxQSwUGAAAA&#10;AAQABADzAAAAewUAAAAA&#10;" fillcolor="#bebebe" strokeweight=".16967mm">
                <v:textbox inset="0,0,0,0">
                  <w:txbxContent>
                    <w:p w14:paraId="0424A813" w14:textId="77777777" w:rsidR="002C6FC7" w:rsidRDefault="00B52B49">
                      <w:pPr>
                        <w:pStyle w:val="BodyText"/>
                        <w:kinsoku w:val="0"/>
                        <w:overflowPunct w:val="0"/>
                        <w:spacing w:before="18"/>
                        <w:ind w:left="50"/>
                        <w:rPr>
                          <w:b/>
                          <w:bCs/>
                          <w:sz w:val="18"/>
                          <w:szCs w:val="18"/>
                        </w:rPr>
                      </w:pPr>
                      <w:r>
                        <w:rPr>
                          <w:b/>
                          <w:bCs/>
                          <w:sz w:val="18"/>
                          <w:szCs w:val="18"/>
                        </w:rPr>
                        <w:t>Charges for the Fund</w:t>
                      </w:r>
                    </w:p>
                  </w:txbxContent>
                </v:textbox>
                <w10:anchorlock/>
              </v:shape>
            </w:pict>
          </mc:Fallback>
        </mc:AlternateContent>
      </w:r>
    </w:p>
    <w:p w14:paraId="59E4C5C2" w14:textId="77777777" w:rsidR="002C6FC7" w:rsidRDefault="002C6FC7">
      <w:pPr>
        <w:pStyle w:val="BodyText"/>
        <w:kinsoku w:val="0"/>
        <w:overflowPunct w:val="0"/>
        <w:rPr>
          <w:sz w:val="7"/>
          <w:szCs w:val="7"/>
        </w:rPr>
      </w:pPr>
    </w:p>
    <w:p w14:paraId="388391D9" w14:textId="77777777" w:rsidR="002C6FC7" w:rsidRDefault="00B52B49">
      <w:pPr>
        <w:pStyle w:val="BodyText"/>
        <w:kinsoku w:val="0"/>
        <w:overflowPunct w:val="0"/>
        <w:spacing w:before="95"/>
        <w:ind w:left="301"/>
      </w:pPr>
      <w:r>
        <w:t>These charges are used to pay the costs of running the Fund, including the costs of marketing and distribution. These charges reduce the potential growth of your investment.</w:t>
      </w:r>
    </w:p>
    <w:p w14:paraId="2A7EFAAA" w14:textId="77777777" w:rsidR="002C6FC7" w:rsidRDefault="002C6FC7">
      <w:pPr>
        <w:pStyle w:val="BodyText"/>
        <w:kinsoku w:val="0"/>
        <w:overflowPunct w:val="0"/>
        <w:rPr>
          <w:sz w:val="18"/>
          <w:szCs w:val="18"/>
        </w:rPr>
      </w:pPr>
    </w:p>
    <w:p w14:paraId="64631483" w14:textId="424BAB7F" w:rsidR="002C6FC7" w:rsidRDefault="00B52B49">
      <w:pPr>
        <w:pStyle w:val="BodyText"/>
        <w:kinsoku w:val="0"/>
        <w:overflowPunct w:val="0"/>
        <w:spacing w:before="124"/>
        <w:ind w:left="5828" w:right="308"/>
        <w:jc w:val="both"/>
      </w:pPr>
      <w:r>
        <w:rPr>
          <w:noProof/>
        </w:rPr>
        <mc:AlternateContent>
          <mc:Choice Requires="wps">
            <w:drawing>
              <wp:anchor distT="0" distB="0" distL="114300" distR="114300" simplePos="0" relativeHeight="251658240" behindDoc="0" locked="0" layoutInCell="0" allowOverlap="1" wp14:anchorId="2A475DBE" wp14:editId="0EE4144D">
                <wp:simplePos x="0" y="0"/>
                <wp:positionH relativeFrom="page">
                  <wp:posOffset>359417</wp:posOffset>
                </wp:positionH>
                <wp:positionV relativeFrom="paragraph">
                  <wp:posOffset>77474</wp:posOffset>
                </wp:positionV>
                <wp:extent cx="3314040" cy="1797086"/>
                <wp:effectExtent l="0" t="0" r="1270" b="12700"/>
                <wp:wrapNone/>
                <wp:docPr id="5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40" cy="1797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67"/>
                              <w:gridCol w:w="3323"/>
                            </w:tblGrid>
                            <w:tr w:rsidR="002C6FC7" w14:paraId="6328C84F" w14:textId="77777777">
                              <w:trPr>
                                <w:trHeight w:val="203"/>
                              </w:trPr>
                              <w:tc>
                                <w:tcPr>
                                  <w:tcW w:w="4990" w:type="dxa"/>
                                  <w:gridSpan w:val="2"/>
                                  <w:tcBorders>
                                    <w:top w:val="single" w:sz="4" w:space="0" w:color="000000"/>
                                    <w:left w:val="single" w:sz="4" w:space="0" w:color="000000"/>
                                    <w:bottom w:val="none" w:sz="6" w:space="0" w:color="auto"/>
                                    <w:right w:val="single" w:sz="4" w:space="0" w:color="000000"/>
                                  </w:tcBorders>
                                </w:tcPr>
                                <w:p w14:paraId="664AEB11" w14:textId="77777777" w:rsidR="002C6FC7" w:rsidRDefault="00B52B49">
                                  <w:pPr>
                                    <w:pStyle w:val="TableParagraph"/>
                                    <w:kinsoku w:val="0"/>
                                    <w:overflowPunct w:val="0"/>
                                    <w:spacing w:before="1" w:line="182" w:lineRule="exact"/>
                                    <w:rPr>
                                      <w:b/>
                                      <w:bCs/>
                                      <w:sz w:val="16"/>
                                      <w:szCs w:val="16"/>
                                    </w:rPr>
                                  </w:pPr>
                                  <w:r>
                                    <w:rPr>
                                      <w:b/>
                                      <w:bCs/>
                                      <w:sz w:val="16"/>
                                      <w:szCs w:val="16"/>
                                    </w:rPr>
                                    <w:t>One-off charges taken before or after you invest</w:t>
                                  </w:r>
                                </w:p>
                              </w:tc>
                            </w:tr>
                            <w:tr w:rsidR="002C6FC7" w14:paraId="434DFD9A" w14:textId="77777777">
                              <w:trPr>
                                <w:trHeight w:val="242"/>
                              </w:trPr>
                              <w:tc>
                                <w:tcPr>
                                  <w:tcW w:w="1667" w:type="dxa"/>
                                  <w:tcBorders>
                                    <w:top w:val="none" w:sz="6" w:space="0" w:color="auto"/>
                                    <w:left w:val="single" w:sz="4" w:space="0" w:color="000000"/>
                                    <w:bottom w:val="none" w:sz="6" w:space="0" w:color="auto"/>
                                    <w:right w:val="none" w:sz="6" w:space="0" w:color="auto"/>
                                  </w:tcBorders>
                                </w:tcPr>
                                <w:p w14:paraId="2E997670" w14:textId="77777777" w:rsidR="002C6FC7" w:rsidRDefault="00B52B49">
                                  <w:pPr>
                                    <w:pStyle w:val="TableParagraph"/>
                                    <w:kinsoku w:val="0"/>
                                    <w:overflowPunct w:val="0"/>
                                    <w:spacing w:before="13"/>
                                    <w:rPr>
                                      <w:sz w:val="16"/>
                                      <w:szCs w:val="16"/>
                                    </w:rPr>
                                  </w:pPr>
                                  <w:r>
                                    <w:rPr>
                                      <w:sz w:val="16"/>
                                      <w:szCs w:val="16"/>
                                    </w:rPr>
                                    <w:t>Entry charge</w:t>
                                  </w:r>
                                </w:p>
                              </w:tc>
                              <w:tc>
                                <w:tcPr>
                                  <w:tcW w:w="3323" w:type="dxa"/>
                                  <w:tcBorders>
                                    <w:top w:val="none" w:sz="6" w:space="0" w:color="auto"/>
                                    <w:left w:val="none" w:sz="6" w:space="0" w:color="auto"/>
                                    <w:bottom w:val="none" w:sz="6" w:space="0" w:color="auto"/>
                                    <w:right w:val="single" w:sz="4" w:space="0" w:color="000000"/>
                                  </w:tcBorders>
                                </w:tcPr>
                                <w:p w14:paraId="50616434" w14:textId="65D5D103" w:rsidR="002C6FC7" w:rsidRDefault="00FB0034">
                                  <w:pPr>
                                    <w:pStyle w:val="TableParagraph"/>
                                    <w:kinsoku w:val="0"/>
                                    <w:overflowPunct w:val="0"/>
                                    <w:spacing w:before="35"/>
                                    <w:ind w:left="377"/>
                                    <w:rPr>
                                      <w:sz w:val="16"/>
                                      <w:szCs w:val="16"/>
                                    </w:rPr>
                                  </w:pPr>
                                  <w:r>
                                    <w:rPr>
                                      <w:sz w:val="16"/>
                                      <w:szCs w:val="16"/>
                                    </w:rPr>
                                    <w:t xml:space="preserve">  </w:t>
                                  </w:r>
                                  <w:r w:rsidR="00CA41AF">
                                    <w:rPr>
                                      <w:sz w:val="16"/>
                                      <w:szCs w:val="16"/>
                                    </w:rPr>
                                    <w:t>3</w:t>
                                  </w:r>
                                  <w:r w:rsidR="00B52B49">
                                    <w:rPr>
                                      <w:sz w:val="16"/>
                                      <w:szCs w:val="16"/>
                                    </w:rPr>
                                    <w:t>%</w:t>
                                  </w:r>
                                </w:p>
                              </w:tc>
                            </w:tr>
                            <w:tr w:rsidR="002C6FC7" w14:paraId="2D868C6F" w14:textId="77777777">
                              <w:trPr>
                                <w:trHeight w:val="327"/>
                              </w:trPr>
                              <w:tc>
                                <w:tcPr>
                                  <w:tcW w:w="1667" w:type="dxa"/>
                                  <w:tcBorders>
                                    <w:top w:val="none" w:sz="6" w:space="0" w:color="auto"/>
                                    <w:left w:val="single" w:sz="4" w:space="0" w:color="000000"/>
                                    <w:bottom w:val="none" w:sz="6" w:space="0" w:color="auto"/>
                                    <w:right w:val="none" w:sz="6" w:space="0" w:color="auto"/>
                                  </w:tcBorders>
                                </w:tcPr>
                                <w:p w14:paraId="2206C734" w14:textId="77777777" w:rsidR="002C6FC7" w:rsidRDefault="00B52B49">
                                  <w:pPr>
                                    <w:pStyle w:val="TableParagraph"/>
                                    <w:kinsoku w:val="0"/>
                                    <w:overflowPunct w:val="0"/>
                                    <w:spacing w:before="18"/>
                                    <w:rPr>
                                      <w:sz w:val="16"/>
                                      <w:szCs w:val="16"/>
                                    </w:rPr>
                                  </w:pPr>
                                  <w:r>
                                    <w:rPr>
                                      <w:sz w:val="16"/>
                                      <w:szCs w:val="16"/>
                                    </w:rPr>
                                    <w:t>Exit charge</w:t>
                                  </w:r>
                                </w:p>
                              </w:tc>
                              <w:tc>
                                <w:tcPr>
                                  <w:tcW w:w="3323" w:type="dxa"/>
                                  <w:tcBorders>
                                    <w:top w:val="none" w:sz="6" w:space="0" w:color="auto"/>
                                    <w:left w:val="none" w:sz="6" w:space="0" w:color="auto"/>
                                    <w:bottom w:val="none" w:sz="6" w:space="0" w:color="auto"/>
                                    <w:right w:val="single" w:sz="4" w:space="0" w:color="000000"/>
                                  </w:tcBorders>
                                </w:tcPr>
                                <w:p w14:paraId="7914C997" w14:textId="296C7AC3" w:rsidR="002C6FC7" w:rsidRDefault="00FB0034" w:rsidP="00D55058">
                                  <w:pPr>
                                    <w:pStyle w:val="TableParagraph"/>
                                    <w:kinsoku w:val="0"/>
                                    <w:overflowPunct w:val="0"/>
                                    <w:spacing w:before="18"/>
                                    <w:ind w:left="377"/>
                                    <w:rPr>
                                      <w:sz w:val="16"/>
                                      <w:szCs w:val="16"/>
                                    </w:rPr>
                                  </w:pPr>
                                  <w:r>
                                    <w:rPr>
                                      <w:sz w:val="16"/>
                                      <w:szCs w:val="16"/>
                                    </w:rPr>
                                    <w:t xml:space="preserve">  </w:t>
                                  </w:r>
                                  <w:r w:rsidR="00CA41AF">
                                    <w:rPr>
                                      <w:sz w:val="16"/>
                                      <w:szCs w:val="16"/>
                                    </w:rPr>
                                    <w:t>3</w:t>
                                  </w:r>
                                  <w:r w:rsidR="00B52B49">
                                    <w:rPr>
                                      <w:sz w:val="16"/>
                                      <w:szCs w:val="16"/>
                                    </w:rPr>
                                    <w:t>%</w:t>
                                  </w:r>
                                </w:p>
                              </w:tc>
                            </w:tr>
                            <w:tr w:rsidR="002C6FC7" w14:paraId="5B486AEA" w14:textId="77777777">
                              <w:trPr>
                                <w:trHeight w:val="774"/>
                              </w:trPr>
                              <w:tc>
                                <w:tcPr>
                                  <w:tcW w:w="4990" w:type="dxa"/>
                                  <w:gridSpan w:val="2"/>
                                  <w:tcBorders>
                                    <w:top w:val="none" w:sz="6" w:space="0" w:color="auto"/>
                                    <w:left w:val="single" w:sz="4" w:space="0" w:color="000000"/>
                                    <w:bottom w:val="single" w:sz="4" w:space="0" w:color="000000"/>
                                    <w:right w:val="single" w:sz="4" w:space="0" w:color="000000"/>
                                  </w:tcBorders>
                                </w:tcPr>
                                <w:p w14:paraId="1DC64B6E" w14:textId="77777777" w:rsidR="002C6FC7" w:rsidRDefault="00B52B49">
                                  <w:pPr>
                                    <w:pStyle w:val="TableParagraph"/>
                                    <w:kinsoku w:val="0"/>
                                    <w:overflowPunct w:val="0"/>
                                    <w:spacing w:before="120"/>
                                    <w:ind w:right="9"/>
                                    <w:rPr>
                                      <w:sz w:val="16"/>
                                      <w:szCs w:val="16"/>
                                    </w:rPr>
                                  </w:pPr>
                                  <w:r>
                                    <w:rPr>
                                      <w:sz w:val="16"/>
                                      <w:szCs w:val="16"/>
                                    </w:rPr>
                                    <w:t>This is the maximum that might be taken out of your money before it is invested or before the proceeds of your investment are paid out.</w:t>
                                  </w:r>
                                </w:p>
                              </w:tc>
                            </w:tr>
                            <w:tr w:rsidR="002C6FC7" w14:paraId="51DE81F3" w14:textId="77777777">
                              <w:trPr>
                                <w:trHeight w:val="295"/>
                              </w:trPr>
                              <w:tc>
                                <w:tcPr>
                                  <w:tcW w:w="4990" w:type="dxa"/>
                                  <w:gridSpan w:val="2"/>
                                  <w:tcBorders>
                                    <w:top w:val="single" w:sz="4" w:space="0" w:color="000000"/>
                                    <w:left w:val="single" w:sz="4" w:space="0" w:color="000000"/>
                                    <w:bottom w:val="none" w:sz="6" w:space="0" w:color="auto"/>
                                    <w:right w:val="single" w:sz="4" w:space="0" w:color="000000"/>
                                  </w:tcBorders>
                                </w:tcPr>
                                <w:p w14:paraId="043A7671" w14:textId="77777777" w:rsidR="002C6FC7" w:rsidRDefault="00B52B49">
                                  <w:pPr>
                                    <w:pStyle w:val="TableParagraph"/>
                                    <w:kinsoku w:val="0"/>
                                    <w:overflowPunct w:val="0"/>
                                    <w:spacing w:before="80"/>
                                    <w:rPr>
                                      <w:b/>
                                      <w:bCs/>
                                      <w:sz w:val="16"/>
                                      <w:szCs w:val="16"/>
                                    </w:rPr>
                                  </w:pPr>
                                  <w:r>
                                    <w:rPr>
                                      <w:b/>
                                      <w:bCs/>
                                      <w:sz w:val="16"/>
                                      <w:szCs w:val="16"/>
                                    </w:rPr>
                                    <w:t>Charges taken from the Fund over a year</w:t>
                                  </w:r>
                                </w:p>
                              </w:tc>
                            </w:tr>
                            <w:tr w:rsidR="002C6FC7" w14:paraId="45DE2A17" w14:textId="77777777">
                              <w:trPr>
                                <w:trHeight w:val="260"/>
                              </w:trPr>
                              <w:tc>
                                <w:tcPr>
                                  <w:tcW w:w="1667" w:type="dxa"/>
                                  <w:tcBorders>
                                    <w:top w:val="none" w:sz="6" w:space="0" w:color="auto"/>
                                    <w:left w:val="single" w:sz="4" w:space="0" w:color="000000"/>
                                    <w:bottom w:val="single" w:sz="4" w:space="0" w:color="000000"/>
                                    <w:right w:val="none" w:sz="6" w:space="0" w:color="auto"/>
                                  </w:tcBorders>
                                </w:tcPr>
                                <w:p w14:paraId="602C2A42" w14:textId="77777777" w:rsidR="002C6FC7" w:rsidRDefault="00B52B49">
                                  <w:pPr>
                                    <w:pStyle w:val="TableParagraph"/>
                                    <w:kinsoku w:val="0"/>
                                    <w:overflowPunct w:val="0"/>
                                    <w:spacing w:before="77" w:line="163" w:lineRule="exact"/>
                                    <w:rPr>
                                      <w:sz w:val="16"/>
                                      <w:szCs w:val="16"/>
                                    </w:rPr>
                                  </w:pPr>
                                  <w:r>
                                    <w:rPr>
                                      <w:sz w:val="16"/>
                                      <w:szCs w:val="16"/>
                                    </w:rPr>
                                    <w:t>Ongoing charges</w:t>
                                  </w:r>
                                </w:p>
                              </w:tc>
                              <w:tc>
                                <w:tcPr>
                                  <w:tcW w:w="3323" w:type="dxa"/>
                                  <w:tcBorders>
                                    <w:top w:val="none" w:sz="6" w:space="0" w:color="auto"/>
                                    <w:left w:val="none" w:sz="6" w:space="0" w:color="auto"/>
                                    <w:bottom w:val="single" w:sz="4" w:space="0" w:color="000000"/>
                                    <w:right w:val="single" w:sz="4" w:space="0" w:color="000000"/>
                                  </w:tcBorders>
                                </w:tcPr>
                                <w:p w14:paraId="195DFDCC" w14:textId="37FE47E7" w:rsidR="002C6FC7" w:rsidRDefault="00263255">
                                  <w:pPr>
                                    <w:pStyle w:val="TableParagraph"/>
                                    <w:kinsoku w:val="0"/>
                                    <w:overflowPunct w:val="0"/>
                                    <w:spacing w:before="27"/>
                                    <w:ind w:left="377"/>
                                    <w:rPr>
                                      <w:sz w:val="16"/>
                                      <w:szCs w:val="16"/>
                                    </w:rPr>
                                  </w:pPr>
                                  <w:r>
                                    <w:rPr>
                                      <w:sz w:val="16"/>
                                      <w:szCs w:val="16"/>
                                    </w:rPr>
                                    <w:t>1.</w:t>
                                  </w:r>
                                  <w:r w:rsidR="003D6846">
                                    <w:rPr>
                                      <w:sz w:val="16"/>
                                      <w:szCs w:val="16"/>
                                    </w:rPr>
                                    <w:t>07</w:t>
                                  </w:r>
                                  <w:r w:rsidR="00B52B49">
                                    <w:rPr>
                                      <w:sz w:val="16"/>
                                      <w:szCs w:val="16"/>
                                    </w:rPr>
                                    <w:t>%</w:t>
                                  </w:r>
                                </w:p>
                              </w:tc>
                            </w:tr>
                            <w:tr w:rsidR="002C6FC7" w14:paraId="11150D36" w14:textId="77777777">
                              <w:trPr>
                                <w:trHeight w:val="306"/>
                              </w:trPr>
                              <w:tc>
                                <w:tcPr>
                                  <w:tcW w:w="4990" w:type="dxa"/>
                                  <w:gridSpan w:val="2"/>
                                  <w:tcBorders>
                                    <w:top w:val="single" w:sz="4" w:space="0" w:color="000000"/>
                                    <w:left w:val="single" w:sz="4" w:space="0" w:color="000000"/>
                                    <w:bottom w:val="none" w:sz="6" w:space="0" w:color="auto"/>
                                    <w:right w:val="single" w:sz="4" w:space="0" w:color="000000"/>
                                  </w:tcBorders>
                                </w:tcPr>
                                <w:p w14:paraId="770189EC" w14:textId="77777777" w:rsidR="002C6FC7" w:rsidRDefault="00B52B49">
                                  <w:pPr>
                                    <w:pStyle w:val="TableParagraph"/>
                                    <w:kinsoku w:val="0"/>
                                    <w:overflowPunct w:val="0"/>
                                    <w:spacing w:before="80"/>
                                    <w:rPr>
                                      <w:b/>
                                      <w:bCs/>
                                      <w:sz w:val="16"/>
                                      <w:szCs w:val="16"/>
                                    </w:rPr>
                                  </w:pPr>
                                  <w:r>
                                    <w:rPr>
                                      <w:b/>
                                      <w:bCs/>
                                      <w:sz w:val="16"/>
                                      <w:szCs w:val="16"/>
                                    </w:rPr>
                                    <w:t>Charges taken from the Fund under certain specific conditions</w:t>
                                  </w:r>
                                </w:p>
                              </w:tc>
                            </w:tr>
                            <w:tr w:rsidR="002C6FC7" w14:paraId="6C85F960" w14:textId="77777777">
                              <w:trPr>
                                <w:trHeight w:val="221"/>
                              </w:trPr>
                              <w:tc>
                                <w:tcPr>
                                  <w:tcW w:w="1667" w:type="dxa"/>
                                  <w:tcBorders>
                                    <w:top w:val="none" w:sz="6" w:space="0" w:color="auto"/>
                                    <w:left w:val="single" w:sz="4" w:space="0" w:color="000000"/>
                                    <w:bottom w:val="single" w:sz="4" w:space="0" w:color="000000"/>
                                    <w:right w:val="none" w:sz="6" w:space="0" w:color="auto"/>
                                  </w:tcBorders>
                                </w:tcPr>
                                <w:p w14:paraId="6FA88870" w14:textId="77777777" w:rsidR="002C6FC7" w:rsidRDefault="00B52B49">
                                  <w:pPr>
                                    <w:pStyle w:val="TableParagraph"/>
                                    <w:kinsoku w:val="0"/>
                                    <w:overflowPunct w:val="0"/>
                                    <w:spacing w:before="37" w:line="163" w:lineRule="exact"/>
                                    <w:rPr>
                                      <w:sz w:val="16"/>
                                      <w:szCs w:val="16"/>
                                    </w:rPr>
                                  </w:pPr>
                                  <w:r>
                                    <w:rPr>
                                      <w:sz w:val="16"/>
                                      <w:szCs w:val="16"/>
                                    </w:rPr>
                                    <w:t>Performance Fee</w:t>
                                  </w:r>
                                </w:p>
                              </w:tc>
                              <w:tc>
                                <w:tcPr>
                                  <w:tcW w:w="3323" w:type="dxa"/>
                                  <w:tcBorders>
                                    <w:top w:val="none" w:sz="6" w:space="0" w:color="auto"/>
                                    <w:left w:val="none" w:sz="6" w:space="0" w:color="auto"/>
                                    <w:bottom w:val="single" w:sz="4" w:space="0" w:color="000000"/>
                                    <w:right w:val="single" w:sz="4" w:space="0" w:color="000000"/>
                                  </w:tcBorders>
                                </w:tcPr>
                                <w:p w14:paraId="2F8716E4" w14:textId="77777777" w:rsidR="002C6FC7" w:rsidRDefault="00B52B49">
                                  <w:pPr>
                                    <w:pStyle w:val="TableParagraph"/>
                                    <w:kinsoku w:val="0"/>
                                    <w:overflowPunct w:val="0"/>
                                    <w:spacing w:before="37" w:line="163" w:lineRule="exact"/>
                                    <w:ind w:left="377"/>
                                    <w:rPr>
                                      <w:sz w:val="16"/>
                                      <w:szCs w:val="16"/>
                                    </w:rPr>
                                  </w:pPr>
                                  <w:r>
                                    <w:rPr>
                                      <w:sz w:val="16"/>
                                      <w:szCs w:val="16"/>
                                    </w:rPr>
                                    <w:t>0.00%</w:t>
                                  </w:r>
                                </w:p>
                              </w:tc>
                            </w:tr>
                          </w:tbl>
                          <w:p w14:paraId="6ABCBBD4" w14:textId="77777777" w:rsidR="002C6FC7" w:rsidRDefault="002C6FC7">
                            <w:pPr>
                              <w:pStyle w:val="BodyText"/>
                              <w:kinsoku w:val="0"/>
                              <w:overflowPunct w:val="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5DBE" id="Text Box 5" o:spid="_x0000_s1029" type="#_x0000_t202" style="position:absolute;left:0;text-align:left;margin-left:28.3pt;margin-top:6.1pt;width:260.9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mf2wEAAJkDAAAOAAAAZHJzL2Uyb0RvYy54bWysU9tu2zAMfR+wfxD0vthui7Yz4hRdiw4D&#10;unVAtw+QZTkWZosaqcTOvn6UHKe7vA17EWhSOjznkF7fTEMv9gbJgqtkscqlME5DY922kl+/PLy5&#10;loKCco3qwZlKHgzJm83rV+vRl+YMOugbg4JBHJWjr2QXgi+zjHRnBkUr8MZxsQUcVOBP3GYNqpHR&#10;hz47y/PLbARsPII2RJy9n4tyk/Db1ujw1LZkgugrydxCOjGddTyzzVqVW1S+s/pIQ/0Di0FZx01P&#10;UPcqKLFD+xfUYDUCQRtWGoYM2tZqkzSwmiL/Q81zp7xJWtgc8ieb6P/B6k/7Z/8ZRZjewcQDTCLI&#10;P4L+RsLBXafc1twiwtgZ1XDjIlqWjZ7K49NoNZUUQerxIzQ8ZLULkICmFofoCusUjM4DOJxMN1MQ&#10;mpPn58VFfsElzbXi6u1Vfn2Zeqhyee6RwnsDg4hBJZGnmuDV/pFCpKPK5Urs5uDB9n2abO9+S/DF&#10;mEn0I+OZe5jqSdiGqcS+UU0NzYH1IMz7wvvNQQf4Q4qRd6WS9H2n0EjRf3DsSVysJcAlqJdAOc1P&#10;KxmkmMO7MC/gzqPddow8u+7gln1rbVL0wuJIl+efhB53NS7Yr9/p1ssftfkJAAD//wMAUEsDBBQA&#10;BgAIAAAAIQAZfuTg3gAAAAkBAAAPAAAAZHJzL2Rvd25yZXYueG1sTI/BTsMwEETvSPyDtUjcqEOk&#10;hDbEqSoEJyREGg4cnXibWI3XIXbb8PcsJzjOzmjmbbld3CjOOAfrScH9KgGB1HljqVfw0bzcrUGE&#10;qMno0RMq+MYA2+r6qtSF8Req8byPveASCoVWMMQ4FVKGbkCnw8pPSOwd/Ox0ZDn30sz6wuVulGmS&#10;5NJpS7ww6AmfBuyO+5NTsPuk+tl+vbXv9aG2TbNJ6DU/KnV7s+weQURc4l8YfvEZHSpmav2JTBCj&#10;gizPOcn3NAXBfvawzkC0CtJNloKsSvn/g+oHAAD//wMAUEsBAi0AFAAGAAgAAAAhALaDOJL+AAAA&#10;4QEAABMAAAAAAAAAAAAAAAAAAAAAAFtDb250ZW50X1R5cGVzXS54bWxQSwECLQAUAAYACAAAACEA&#10;OP0h/9YAAACUAQAACwAAAAAAAAAAAAAAAAAvAQAAX3JlbHMvLnJlbHNQSwECLQAUAAYACAAAACEA&#10;HKo5n9sBAACZAwAADgAAAAAAAAAAAAAAAAAuAgAAZHJzL2Uyb0RvYy54bWxQSwECLQAUAAYACAAA&#10;ACEAGX7k4N4AAAAJAQAADwAAAAAAAAAAAAAAAAA1BAAAZHJzL2Rvd25yZXYueG1sUEsFBgAAAAAE&#10;AAQA8wAAAEA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67"/>
                        <w:gridCol w:w="3323"/>
                      </w:tblGrid>
                      <w:tr w:rsidR="002C6FC7" w14:paraId="6328C84F" w14:textId="77777777">
                        <w:trPr>
                          <w:trHeight w:val="203"/>
                        </w:trPr>
                        <w:tc>
                          <w:tcPr>
                            <w:tcW w:w="4990" w:type="dxa"/>
                            <w:gridSpan w:val="2"/>
                            <w:tcBorders>
                              <w:top w:val="single" w:sz="4" w:space="0" w:color="000000"/>
                              <w:left w:val="single" w:sz="4" w:space="0" w:color="000000"/>
                              <w:bottom w:val="none" w:sz="6" w:space="0" w:color="auto"/>
                              <w:right w:val="single" w:sz="4" w:space="0" w:color="000000"/>
                            </w:tcBorders>
                          </w:tcPr>
                          <w:p w14:paraId="664AEB11" w14:textId="77777777" w:rsidR="002C6FC7" w:rsidRDefault="00B52B49">
                            <w:pPr>
                              <w:pStyle w:val="TableParagraph"/>
                              <w:kinsoku w:val="0"/>
                              <w:overflowPunct w:val="0"/>
                              <w:spacing w:before="1" w:line="182" w:lineRule="exact"/>
                              <w:rPr>
                                <w:b/>
                                <w:bCs/>
                                <w:sz w:val="16"/>
                                <w:szCs w:val="16"/>
                              </w:rPr>
                            </w:pPr>
                            <w:r>
                              <w:rPr>
                                <w:b/>
                                <w:bCs/>
                                <w:sz w:val="16"/>
                                <w:szCs w:val="16"/>
                              </w:rPr>
                              <w:t>One-off charges taken before or after you invest</w:t>
                            </w:r>
                          </w:p>
                        </w:tc>
                      </w:tr>
                      <w:tr w:rsidR="002C6FC7" w14:paraId="434DFD9A" w14:textId="77777777">
                        <w:trPr>
                          <w:trHeight w:val="242"/>
                        </w:trPr>
                        <w:tc>
                          <w:tcPr>
                            <w:tcW w:w="1667" w:type="dxa"/>
                            <w:tcBorders>
                              <w:top w:val="none" w:sz="6" w:space="0" w:color="auto"/>
                              <w:left w:val="single" w:sz="4" w:space="0" w:color="000000"/>
                              <w:bottom w:val="none" w:sz="6" w:space="0" w:color="auto"/>
                              <w:right w:val="none" w:sz="6" w:space="0" w:color="auto"/>
                            </w:tcBorders>
                          </w:tcPr>
                          <w:p w14:paraId="2E997670" w14:textId="77777777" w:rsidR="002C6FC7" w:rsidRDefault="00B52B49">
                            <w:pPr>
                              <w:pStyle w:val="TableParagraph"/>
                              <w:kinsoku w:val="0"/>
                              <w:overflowPunct w:val="0"/>
                              <w:spacing w:before="13"/>
                              <w:rPr>
                                <w:sz w:val="16"/>
                                <w:szCs w:val="16"/>
                              </w:rPr>
                            </w:pPr>
                            <w:r>
                              <w:rPr>
                                <w:sz w:val="16"/>
                                <w:szCs w:val="16"/>
                              </w:rPr>
                              <w:t>Entry charge</w:t>
                            </w:r>
                          </w:p>
                        </w:tc>
                        <w:tc>
                          <w:tcPr>
                            <w:tcW w:w="3323" w:type="dxa"/>
                            <w:tcBorders>
                              <w:top w:val="none" w:sz="6" w:space="0" w:color="auto"/>
                              <w:left w:val="none" w:sz="6" w:space="0" w:color="auto"/>
                              <w:bottom w:val="none" w:sz="6" w:space="0" w:color="auto"/>
                              <w:right w:val="single" w:sz="4" w:space="0" w:color="000000"/>
                            </w:tcBorders>
                          </w:tcPr>
                          <w:p w14:paraId="50616434" w14:textId="65D5D103" w:rsidR="002C6FC7" w:rsidRDefault="00FB0034">
                            <w:pPr>
                              <w:pStyle w:val="TableParagraph"/>
                              <w:kinsoku w:val="0"/>
                              <w:overflowPunct w:val="0"/>
                              <w:spacing w:before="35"/>
                              <w:ind w:left="377"/>
                              <w:rPr>
                                <w:sz w:val="16"/>
                                <w:szCs w:val="16"/>
                              </w:rPr>
                            </w:pPr>
                            <w:r>
                              <w:rPr>
                                <w:sz w:val="16"/>
                                <w:szCs w:val="16"/>
                              </w:rPr>
                              <w:t xml:space="preserve">  </w:t>
                            </w:r>
                            <w:r w:rsidR="00CA41AF">
                              <w:rPr>
                                <w:sz w:val="16"/>
                                <w:szCs w:val="16"/>
                              </w:rPr>
                              <w:t>3</w:t>
                            </w:r>
                            <w:r w:rsidR="00B52B49">
                              <w:rPr>
                                <w:sz w:val="16"/>
                                <w:szCs w:val="16"/>
                              </w:rPr>
                              <w:t>%</w:t>
                            </w:r>
                          </w:p>
                        </w:tc>
                      </w:tr>
                      <w:tr w:rsidR="002C6FC7" w14:paraId="2D868C6F" w14:textId="77777777">
                        <w:trPr>
                          <w:trHeight w:val="327"/>
                        </w:trPr>
                        <w:tc>
                          <w:tcPr>
                            <w:tcW w:w="1667" w:type="dxa"/>
                            <w:tcBorders>
                              <w:top w:val="none" w:sz="6" w:space="0" w:color="auto"/>
                              <w:left w:val="single" w:sz="4" w:space="0" w:color="000000"/>
                              <w:bottom w:val="none" w:sz="6" w:space="0" w:color="auto"/>
                              <w:right w:val="none" w:sz="6" w:space="0" w:color="auto"/>
                            </w:tcBorders>
                          </w:tcPr>
                          <w:p w14:paraId="2206C734" w14:textId="77777777" w:rsidR="002C6FC7" w:rsidRDefault="00B52B49">
                            <w:pPr>
                              <w:pStyle w:val="TableParagraph"/>
                              <w:kinsoku w:val="0"/>
                              <w:overflowPunct w:val="0"/>
                              <w:spacing w:before="18"/>
                              <w:rPr>
                                <w:sz w:val="16"/>
                                <w:szCs w:val="16"/>
                              </w:rPr>
                            </w:pPr>
                            <w:r>
                              <w:rPr>
                                <w:sz w:val="16"/>
                                <w:szCs w:val="16"/>
                              </w:rPr>
                              <w:t>Exit charge</w:t>
                            </w:r>
                          </w:p>
                        </w:tc>
                        <w:tc>
                          <w:tcPr>
                            <w:tcW w:w="3323" w:type="dxa"/>
                            <w:tcBorders>
                              <w:top w:val="none" w:sz="6" w:space="0" w:color="auto"/>
                              <w:left w:val="none" w:sz="6" w:space="0" w:color="auto"/>
                              <w:bottom w:val="none" w:sz="6" w:space="0" w:color="auto"/>
                              <w:right w:val="single" w:sz="4" w:space="0" w:color="000000"/>
                            </w:tcBorders>
                          </w:tcPr>
                          <w:p w14:paraId="7914C997" w14:textId="296C7AC3" w:rsidR="002C6FC7" w:rsidRDefault="00FB0034" w:rsidP="00D55058">
                            <w:pPr>
                              <w:pStyle w:val="TableParagraph"/>
                              <w:kinsoku w:val="0"/>
                              <w:overflowPunct w:val="0"/>
                              <w:spacing w:before="18"/>
                              <w:ind w:left="377"/>
                              <w:rPr>
                                <w:sz w:val="16"/>
                                <w:szCs w:val="16"/>
                              </w:rPr>
                            </w:pPr>
                            <w:r>
                              <w:rPr>
                                <w:sz w:val="16"/>
                                <w:szCs w:val="16"/>
                              </w:rPr>
                              <w:t xml:space="preserve">  </w:t>
                            </w:r>
                            <w:r w:rsidR="00CA41AF">
                              <w:rPr>
                                <w:sz w:val="16"/>
                                <w:szCs w:val="16"/>
                              </w:rPr>
                              <w:t>3</w:t>
                            </w:r>
                            <w:r w:rsidR="00B52B49">
                              <w:rPr>
                                <w:sz w:val="16"/>
                                <w:szCs w:val="16"/>
                              </w:rPr>
                              <w:t>%</w:t>
                            </w:r>
                          </w:p>
                        </w:tc>
                      </w:tr>
                      <w:tr w:rsidR="002C6FC7" w14:paraId="5B486AEA" w14:textId="77777777">
                        <w:trPr>
                          <w:trHeight w:val="774"/>
                        </w:trPr>
                        <w:tc>
                          <w:tcPr>
                            <w:tcW w:w="4990" w:type="dxa"/>
                            <w:gridSpan w:val="2"/>
                            <w:tcBorders>
                              <w:top w:val="none" w:sz="6" w:space="0" w:color="auto"/>
                              <w:left w:val="single" w:sz="4" w:space="0" w:color="000000"/>
                              <w:bottom w:val="single" w:sz="4" w:space="0" w:color="000000"/>
                              <w:right w:val="single" w:sz="4" w:space="0" w:color="000000"/>
                            </w:tcBorders>
                          </w:tcPr>
                          <w:p w14:paraId="1DC64B6E" w14:textId="77777777" w:rsidR="002C6FC7" w:rsidRDefault="00B52B49">
                            <w:pPr>
                              <w:pStyle w:val="TableParagraph"/>
                              <w:kinsoku w:val="0"/>
                              <w:overflowPunct w:val="0"/>
                              <w:spacing w:before="120"/>
                              <w:ind w:right="9"/>
                              <w:rPr>
                                <w:sz w:val="16"/>
                                <w:szCs w:val="16"/>
                              </w:rPr>
                            </w:pPr>
                            <w:r>
                              <w:rPr>
                                <w:sz w:val="16"/>
                                <w:szCs w:val="16"/>
                              </w:rPr>
                              <w:t>This is the maximum that might be taken out of your money before it is invested or before the proceeds of your investment are paid out.</w:t>
                            </w:r>
                          </w:p>
                        </w:tc>
                      </w:tr>
                      <w:tr w:rsidR="002C6FC7" w14:paraId="51DE81F3" w14:textId="77777777">
                        <w:trPr>
                          <w:trHeight w:val="295"/>
                        </w:trPr>
                        <w:tc>
                          <w:tcPr>
                            <w:tcW w:w="4990" w:type="dxa"/>
                            <w:gridSpan w:val="2"/>
                            <w:tcBorders>
                              <w:top w:val="single" w:sz="4" w:space="0" w:color="000000"/>
                              <w:left w:val="single" w:sz="4" w:space="0" w:color="000000"/>
                              <w:bottom w:val="none" w:sz="6" w:space="0" w:color="auto"/>
                              <w:right w:val="single" w:sz="4" w:space="0" w:color="000000"/>
                            </w:tcBorders>
                          </w:tcPr>
                          <w:p w14:paraId="043A7671" w14:textId="77777777" w:rsidR="002C6FC7" w:rsidRDefault="00B52B49">
                            <w:pPr>
                              <w:pStyle w:val="TableParagraph"/>
                              <w:kinsoku w:val="0"/>
                              <w:overflowPunct w:val="0"/>
                              <w:spacing w:before="80"/>
                              <w:rPr>
                                <w:b/>
                                <w:bCs/>
                                <w:sz w:val="16"/>
                                <w:szCs w:val="16"/>
                              </w:rPr>
                            </w:pPr>
                            <w:r>
                              <w:rPr>
                                <w:b/>
                                <w:bCs/>
                                <w:sz w:val="16"/>
                                <w:szCs w:val="16"/>
                              </w:rPr>
                              <w:t>Charges taken from the Fund over a year</w:t>
                            </w:r>
                          </w:p>
                        </w:tc>
                      </w:tr>
                      <w:tr w:rsidR="002C6FC7" w14:paraId="45DE2A17" w14:textId="77777777">
                        <w:trPr>
                          <w:trHeight w:val="260"/>
                        </w:trPr>
                        <w:tc>
                          <w:tcPr>
                            <w:tcW w:w="1667" w:type="dxa"/>
                            <w:tcBorders>
                              <w:top w:val="none" w:sz="6" w:space="0" w:color="auto"/>
                              <w:left w:val="single" w:sz="4" w:space="0" w:color="000000"/>
                              <w:bottom w:val="single" w:sz="4" w:space="0" w:color="000000"/>
                              <w:right w:val="none" w:sz="6" w:space="0" w:color="auto"/>
                            </w:tcBorders>
                          </w:tcPr>
                          <w:p w14:paraId="602C2A42" w14:textId="77777777" w:rsidR="002C6FC7" w:rsidRDefault="00B52B49">
                            <w:pPr>
                              <w:pStyle w:val="TableParagraph"/>
                              <w:kinsoku w:val="0"/>
                              <w:overflowPunct w:val="0"/>
                              <w:spacing w:before="77" w:line="163" w:lineRule="exact"/>
                              <w:rPr>
                                <w:sz w:val="16"/>
                                <w:szCs w:val="16"/>
                              </w:rPr>
                            </w:pPr>
                            <w:r>
                              <w:rPr>
                                <w:sz w:val="16"/>
                                <w:szCs w:val="16"/>
                              </w:rPr>
                              <w:t>Ongoing charges</w:t>
                            </w:r>
                          </w:p>
                        </w:tc>
                        <w:tc>
                          <w:tcPr>
                            <w:tcW w:w="3323" w:type="dxa"/>
                            <w:tcBorders>
                              <w:top w:val="none" w:sz="6" w:space="0" w:color="auto"/>
                              <w:left w:val="none" w:sz="6" w:space="0" w:color="auto"/>
                              <w:bottom w:val="single" w:sz="4" w:space="0" w:color="000000"/>
                              <w:right w:val="single" w:sz="4" w:space="0" w:color="000000"/>
                            </w:tcBorders>
                          </w:tcPr>
                          <w:p w14:paraId="195DFDCC" w14:textId="37FE47E7" w:rsidR="002C6FC7" w:rsidRDefault="00263255">
                            <w:pPr>
                              <w:pStyle w:val="TableParagraph"/>
                              <w:kinsoku w:val="0"/>
                              <w:overflowPunct w:val="0"/>
                              <w:spacing w:before="27"/>
                              <w:ind w:left="377"/>
                              <w:rPr>
                                <w:sz w:val="16"/>
                                <w:szCs w:val="16"/>
                              </w:rPr>
                            </w:pPr>
                            <w:r>
                              <w:rPr>
                                <w:sz w:val="16"/>
                                <w:szCs w:val="16"/>
                              </w:rPr>
                              <w:t>1.</w:t>
                            </w:r>
                            <w:r w:rsidR="003D6846">
                              <w:rPr>
                                <w:sz w:val="16"/>
                                <w:szCs w:val="16"/>
                              </w:rPr>
                              <w:t>07</w:t>
                            </w:r>
                            <w:r w:rsidR="00B52B49">
                              <w:rPr>
                                <w:sz w:val="16"/>
                                <w:szCs w:val="16"/>
                              </w:rPr>
                              <w:t>%</w:t>
                            </w:r>
                          </w:p>
                        </w:tc>
                      </w:tr>
                      <w:tr w:rsidR="002C6FC7" w14:paraId="11150D36" w14:textId="77777777">
                        <w:trPr>
                          <w:trHeight w:val="306"/>
                        </w:trPr>
                        <w:tc>
                          <w:tcPr>
                            <w:tcW w:w="4990" w:type="dxa"/>
                            <w:gridSpan w:val="2"/>
                            <w:tcBorders>
                              <w:top w:val="single" w:sz="4" w:space="0" w:color="000000"/>
                              <w:left w:val="single" w:sz="4" w:space="0" w:color="000000"/>
                              <w:bottom w:val="none" w:sz="6" w:space="0" w:color="auto"/>
                              <w:right w:val="single" w:sz="4" w:space="0" w:color="000000"/>
                            </w:tcBorders>
                          </w:tcPr>
                          <w:p w14:paraId="770189EC" w14:textId="77777777" w:rsidR="002C6FC7" w:rsidRDefault="00B52B49">
                            <w:pPr>
                              <w:pStyle w:val="TableParagraph"/>
                              <w:kinsoku w:val="0"/>
                              <w:overflowPunct w:val="0"/>
                              <w:spacing w:before="80"/>
                              <w:rPr>
                                <w:b/>
                                <w:bCs/>
                                <w:sz w:val="16"/>
                                <w:szCs w:val="16"/>
                              </w:rPr>
                            </w:pPr>
                            <w:r>
                              <w:rPr>
                                <w:b/>
                                <w:bCs/>
                                <w:sz w:val="16"/>
                                <w:szCs w:val="16"/>
                              </w:rPr>
                              <w:t>Charges taken from the Fund under certain specific conditions</w:t>
                            </w:r>
                          </w:p>
                        </w:tc>
                      </w:tr>
                      <w:tr w:rsidR="002C6FC7" w14:paraId="6C85F960" w14:textId="77777777">
                        <w:trPr>
                          <w:trHeight w:val="221"/>
                        </w:trPr>
                        <w:tc>
                          <w:tcPr>
                            <w:tcW w:w="1667" w:type="dxa"/>
                            <w:tcBorders>
                              <w:top w:val="none" w:sz="6" w:space="0" w:color="auto"/>
                              <w:left w:val="single" w:sz="4" w:space="0" w:color="000000"/>
                              <w:bottom w:val="single" w:sz="4" w:space="0" w:color="000000"/>
                              <w:right w:val="none" w:sz="6" w:space="0" w:color="auto"/>
                            </w:tcBorders>
                          </w:tcPr>
                          <w:p w14:paraId="6FA88870" w14:textId="77777777" w:rsidR="002C6FC7" w:rsidRDefault="00B52B49">
                            <w:pPr>
                              <w:pStyle w:val="TableParagraph"/>
                              <w:kinsoku w:val="0"/>
                              <w:overflowPunct w:val="0"/>
                              <w:spacing w:before="37" w:line="163" w:lineRule="exact"/>
                              <w:rPr>
                                <w:sz w:val="16"/>
                                <w:szCs w:val="16"/>
                              </w:rPr>
                            </w:pPr>
                            <w:r>
                              <w:rPr>
                                <w:sz w:val="16"/>
                                <w:szCs w:val="16"/>
                              </w:rPr>
                              <w:t>Performance Fee</w:t>
                            </w:r>
                          </w:p>
                        </w:tc>
                        <w:tc>
                          <w:tcPr>
                            <w:tcW w:w="3323" w:type="dxa"/>
                            <w:tcBorders>
                              <w:top w:val="none" w:sz="6" w:space="0" w:color="auto"/>
                              <w:left w:val="none" w:sz="6" w:space="0" w:color="auto"/>
                              <w:bottom w:val="single" w:sz="4" w:space="0" w:color="000000"/>
                              <w:right w:val="single" w:sz="4" w:space="0" w:color="000000"/>
                            </w:tcBorders>
                          </w:tcPr>
                          <w:p w14:paraId="2F8716E4" w14:textId="77777777" w:rsidR="002C6FC7" w:rsidRDefault="00B52B49">
                            <w:pPr>
                              <w:pStyle w:val="TableParagraph"/>
                              <w:kinsoku w:val="0"/>
                              <w:overflowPunct w:val="0"/>
                              <w:spacing w:before="37" w:line="163" w:lineRule="exact"/>
                              <w:ind w:left="377"/>
                              <w:rPr>
                                <w:sz w:val="16"/>
                                <w:szCs w:val="16"/>
                              </w:rPr>
                            </w:pPr>
                            <w:r>
                              <w:rPr>
                                <w:sz w:val="16"/>
                                <w:szCs w:val="16"/>
                              </w:rPr>
                              <w:t>0.00%</w:t>
                            </w:r>
                          </w:p>
                        </w:tc>
                      </w:tr>
                    </w:tbl>
                    <w:p w14:paraId="6ABCBBD4" w14:textId="77777777" w:rsidR="002C6FC7" w:rsidRDefault="002C6FC7">
                      <w:pPr>
                        <w:pStyle w:val="BodyText"/>
                        <w:kinsoku w:val="0"/>
                        <w:overflowPunct w:val="0"/>
                        <w:rPr>
                          <w:rFonts w:ascii="Times New Roman" w:hAnsi="Times New Roman" w:cs="Times New Roman"/>
                          <w:sz w:val="24"/>
                          <w:szCs w:val="24"/>
                        </w:rPr>
                      </w:pPr>
                    </w:p>
                  </w:txbxContent>
                </v:textbox>
                <w10:wrap anchorx="page"/>
              </v:shape>
            </w:pict>
          </mc:Fallback>
        </mc:AlternateContent>
      </w:r>
      <w:r>
        <w:t>The Exit and Entry charges shown are maximum figures, and in some cases an investor may pay substantially less, or there will be no charges at all. You can find out the actual entry and exit charges from your financial advisor, distributor or</w:t>
      </w:r>
      <w:r w:rsidR="00D55058">
        <w:t xml:space="preserve"> from</w:t>
      </w:r>
      <w:r>
        <w:t xml:space="preserve"> </w:t>
      </w:r>
      <w:r w:rsidR="00033920">
        <w:t>the Manager</w:t>
      </w:r>
      <w:r>
        <w:t xml:space="preserve"> of the</w:t>
      </w:r>
      <w:r>
        <w:rPr>
          <w:spacing w:val="-18"/>
        </w:rPr>
        <w:t xml:space="preserve"> </w:t>
      </w:r>
      <w:r>
        <w:t>Fund.</w:t>
      </w:r>
    </w:p>
    <w:p w14:paraId="6BFF0C4A" w14:textId="3B8AB561" w:rsidR="00033920" w:rsidRDefault="00033920">
      <w:pPr>
        <w:pStyle w:val="BodyText"/>
        <w:kinsoku w:val="0"/>
        <w:overflowPunct w:val="0"/>
        <w:spacing w:before="124"/>
        <w:ind w:left="5828" w:right="308"/>
        <w:jc w:val="both"/>
      </w:pPr>
      <w:r w:rsidRPr="00033920">
        <w:t>The ongoing charges figure is an estimate based on a projection of the expenses of the Fund for the first twelve months of operation of the Fund, which includes estimates of any sales charges and ongoing charges which may be levied by the underlying collective undertakings into which the Fund invests.</w:t>
      </w:r>
    </w:p>
    <w:p w14:paraId="2DDFB7EF" w14:textId="7947B4B5" w:rsidR="002C6FC7" w:rsidRDefault="002C6FC7" w:rsidP="008864C0">
      <w:pPr>
        <w:pStyle w:val="BodyText"/>
        <w:tabs>
          <w:tab w:val="left" w:pos="8526"/>
        </w:tabs>
        <w:kinsoku w:val="0"/>
        <w:overflowPunct w:val="0"/>
        <w:spacing w:before="11"/>
        <w:rPr>
          <w:sz w:val="15"/>
          <w:szCs w:val="15"/>
        </w:rPr>
      </w:pPr>
    </w:p>
    <w:p w14:paraId="5E12C0D7" w14:textId="38DDF53F" w:rsidR="00D55058" w:rsidRDefault="00B52B49" w:rsidP="00033920">
      <w:pPr>
        <w:pStyle w:val="BodyText"/>
        <w:kinsoku w:val="0"/>
        <w:overflowPunct w:val="0"/>
        <w:ind w:left="5828" w:right="307"/>
        <w:jc w:val="both"/>
      </w:pPr>
      <w:r>
        <w:t>This figure may vary from year to year. It excludes portfolio transaction costs, except in the case of an entry or exit charge paid by the UCITS when buying or selling units in another UCITS or collective investment undertaking.</w:t>
      </w:r>
    </w:p>
    <w:p w14:paraId="107CE162" w14:textId="77777777" w:rsidR="00D55058" w:rsidRDefault="00D55058">
      <w:pPr>
        <w:pStyle w:val="BodyText"/>
        <w:kinsoku w:val="0"/>
        <w:overflowPunct w:val="0"/>
        <w:ind w:left="301"/>
      </w:pPr>
    </w:p>
    <w:p w14:paraId="21DF27F2" w14:textId="7369B646" w:rsidR="002C6FC7" w:rsidRDefault="00B52B49">
      <w:pPr>
        <w:pStyle w:val="BodyText"/>
        <w:kinsoku w:val="0"/>
        <w:overflowPunct w:val="0"/>
        <w:ind w:left="301"/>
      </w:pPr>
      <w:r>
        <w:t xml:space="preserve">You can find more details about the charges in the section of the Fund's Prospectus entitled </w:t>
      </w:r>
      <w:r w:rsidR="00EB4292">
        <w:t>“</w:t>
      </w:r>
      <w:r>
        <w:t>Fees and Expenses</w:t>
      </w:r>
      <w:r w:rsidR="00EB4292">
        <w:t>”</w:t>
      </w:r>
      <w:r>
        <w:t>.</w:t>
      </w:r>
    </w:p>
    <w:p w14:paraId="090C435D" w14:textId="77777777" w:rsidR="002C6FC7" w:rsidRDefault="00B52B49">
      <w:pPr>
        <w:pStyle w:val="BodyText"/>
        <w:kinsoku w:val="0"/>
        <w:overflowPunct w:val="0"/>
        <w:spacing w:before="10"/>
      </w:pPr>
      <w:r>
        <w:rPr>
          <w:noProof/>
        </w:rPr>
        <mc:AlternateContent>
          <mc:Choice Requires="wps">
            <w:drawing>
              <wp:anchor distT="0" distB="0" distL="0" distR="0" simplePos="0" relativeHeight="251659264" behindDoc="0" locked="0" layoutInCell="0" allowOverlap="1" wp14:anchorId="5A741B3F" wp14:editId="6D3FF11D">
                <wp:simplePos x="0" y="0"/>
                <wp:positionH relativeFrom="page">
                  <wp:posOffset>357505</wp:posOffset>
                </wp:positionH>
                <wp:positionV relativeFrom="paragraph">
                  <wp:posOffset>151765</wp:posOffset>
                </wp:positionV>
                <wp:extent cx="6784975" cy="162560"/>
                <wp:effectExtent l="0" t="0" r="15875" b="27940"/>
                <wp:wrapTopAndBottom/>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162560"/>
                        </a:xfrm>
                        <a:prstGeom prst="rect">
                          <a:avLst/>
                        </a:prstGeom>
                        <a:solidFill>
                          <a:srgbClr val="BEBEBE"/>
                        </a:solidFill>
                        <a:ln w="6108" cmpd="sng">
                          <a:solidFill>
                            <a:schemeClr val="tx1"/>
                          </a:solidFill>
                          <a:miter lim="800000"/>
                          <a:headEnd/>
                          <a:tailEnd/>
                        </a:ln>
                      </wps:spPr>
                      <wps:txbx>
                        <w:txbxContent>
                          <w:p w14:paraId="44E0C78A" w14:textId="77777777" w:rsidR="002C6FC7" w:rsidRDefault="00B52B49">
                            <w:pPr>
                              <w:pStyle w:val="BodyText"/>
                              <w:kinsoku w:val="0"/>
                              <w:overflowPunct w:val="0"/>
                              <w:spacing w:before="18"/>
                              <w:ind w:left="50"/>
                              <w:rPr>
                                <w:b/>
                                <w:bCs/>
                                <w:sz w:val="18"/>
                                <w:szCs w:val="18"/>
                              </w:rPr>
                            </w:pPr>
                            <w:r>
                              <w:rPr>
                                <w:b/>
                                <w:bCs/>
                                <w:sz w:val="18"/>
                                <w:szCs w:val="18"/>
                              </w:rPr>
                              <w:t>Past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41B3F" id="Text Box 6" o:spid="_x0000_s1030" type="#_x0000_t202" style="position:absolute;margin-left:28.15pt;margin-top:11.95pt;width:534.25pt;height:12.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92HgIAACwEAAAOAAAAZHJzL2Uyb0RvYy54bWysU11v0zAUfUfiP1h+p0mrrRtR02nrNoQ0&#10;BtLgBziOk1g4vubabVJ+PddO20F5QySSdf11fO65565uxt6wnUKvwZZ8Pss5U1ZCrW1b8m9fH99d&#10;c+aDsLUwYFXJ98rzm/XbN6vBFWoBHZhaISMQ64vBlbwLwRVZ5mWneuFn4JSlzQawF4Gm2GY1ioHQ&#10;e5Mt8nyZDYC1Q5DKe1q9nzb5OuE3jZLhc9N4FZgpOXELacQ0VnHM1itRtChcp+WBhvgHFr3Qlh49&#10;Qd2LINgW9V9QvZYIHpowk9Bn0DRaqpQDZTPPz7J56YRTKRcSx7uTTP7/wcrn3Yv7giyMdzBSAVMS&#10;3j2B/O6ZhU0nbKtuEWHolKjp4XmULBucLw5Xo9S+8BGkGj5BTUUW2wAJaGywj6pQnozQqQD7k+hq&#10;DEzS4vLq+uL91SVnkvbmy8XlMlUlE8XxtkMfPijoWQxKjlTUhC52Tz5ENqI4HomPeTC6ftTGpAm2&#10;1cYg2wkywN1D/FMCZ8eMZQNRmedkV9m7uuTetpMWf6BFW6oTXhgnNc7Aeh3I00b3Jb/O4ze5LAr4&#10;YOvkuCC0mWIib+xB0SjiJGcYq5FponER70aBK6j3JDHCZGFqOQo6wJ+cDWRfIvxjK1BxZj5aKlP0&#10;+jHAY1AdA2ElXS154GwKN2Hqia1D3XaEPBnBwi2VstFJ5VcWB7pkyST+oX2i53+fp1OvTb7+BQAA&#10;//8DAFBLAwQUAAYACAAAACEACrtkV+AAAAAJAQAADwAAAGRycy9kb3ducmV2LnhtbEyPzU7DMBCE&#10;70i8g7VI3KiTtI2akE3FjzhAD5C2D+DGSxIa2yF2U/P2uCc4jmY0802x9qpnE422MxohnkXASNdG&#10;drpB2O9e7lbArBNait5oQvghC+vy+qoQuTRnXdG0dQ0LJdrmAqF1bsg5t3VLStiZGUgH79OMSrgg&#10;x4bLUZxDuep5EkUpV6LTYaEVAz21VB+3J4Xw9eHf0ug9fs5ev4+7TUzVVD16xNsb/3APzJF3f2G4&#10;4Ad0KAPTwZy0tKxHWKbzkERI5hmwix8ni/DlgLDIlsDLgv9/UP4CAAD//wMAUEsBAi0AFAAGAAgA&#10;AAAhALaDOJL+AAAA4QEAABMAAAAAAAAAAAAAAAAAAAAAAFtDb250ZW50X1R5cGVzXS54bWxQSwEC&#10;LQAUAAYACAAAACEAOP0h/9YAAACUAQAACwAAAAAAAAAAAAAAAAAvAQAAX3JlbHMvLnJlbHNQSwEC&#10;LQAUAAYACAAAACEAbrrfdh4CAAAsBAAADgAAAAAAAAAAAAAAAAAuAgAAZHJzL2Uyb0RvYy54bWxQ&#10;SwECLQAUAAYACAAAACEACrtkV+AAAAAJAQAADwAAAAAAAAAAAAAAAAB4BAAAZHJzL2Rvd25yZXYu&#10;eG1sUEsFBgAAAAAEAAQA8wAAAIUFAAAAAA==&#10;" o:allowincell="f" fillcolor="#bebebe" strokecolor="black [3213]" strokeweight=".16967mm">
                <v:textbox inset="0,0,0,0">
                  <w:txbxContent>
                    <w:p w14:paraId="44E0C78A" w14:textId="77777777" w:rsidR="002C6FC7" w:rsidRDefault="00B52B49">
                      <w:pPr>
                        <w:pStyle w:val="BodyText"/>
                        <w:kinsoku w:val="0"/>
                        <w:overflowPunct w:val="0"/>
                        <w:spacing w:before="18"/>
                        <w:ind w:left="50"/>
                        <w:rPr>
                          <w:b/>
                          <w:bCs/>
                          <w:sz w:val="18"/>
                          <w:szCs w:val="18"/>
                        </w:rPr>
                      </w:pPr>
                      <w:r>
                        <w:rPr>
                          <w:b/>
                          <w:bCs/>
                          <w:sz w:val="18"/>
                          <w:szCs w:val="18"/>
                        </w:rPr>
                        <w:t>Past Performance</w:t>
                      </w:r>
                    </w:p>
                  </w:txbxContent>
                </v:textbox>
                <w10:wrap type="topAndBottom" anchorx="page"/>
              </v:shape>
            </w:pict>
          </mc:Fallback>
        </mc:AlternateContent>
      </w:r>
    </w:p>
    <w:p w14:paraId="3680EF19" w14:textId="77777777" w:rsidR="002C6FC7" w:rsidRDefault="002C6FC7">
      <w:pPr>
        <w:pStyle w:val="BodyText"/>
        <w:kinsoku w:val="0"/>
        <w:overflowPunct w:val="0"/>
        <w:rPr>
          <w:sz w:val="8"/>
          <w:szCs w:val="8"/>
        </w:rPr>
      </w:pPr>
    </w:p>
    <w:p w14:paraId="31DDE0C6" w14:textId="2DFBE965" w:rsidR="002C6FC7" w:rsidRPr="00EB4292" w:rsidRDefault="00D55058" w:rsidP="00EB4292">
      <w:pPr>
        <w:ind w:firstLine="301"/>
        <w:rPr>
          <w:sz w:val="16"/>
          <w:szCs w:val="28"/>
        </w:rPr>
      </w:pPr>
      <w:r w:rsidRPr="00D55058">
        <w:rPr>
          <w:sz w:val="16"/>
          <w:szCs w:val="28"/>
        </w:rPr>
        <w:t xml:space="preserve">There is insufficient data for this Share Class to provide a useful indication of past performance. </w:t>
      </w:r>
      <w:r w:rsidR="00B52B49">
        <w:rPr>
          <w:noProof/>
        </w:rPr>
        <mc:AlternateContent>
          <mc:Choice Requires="wps">
            <w:drawing>
              <wp:anchor distT="0" distB="0" distL="0" distR="0" simplePos="0" relativeHeight="251662336" behindDoc="0" locked="0" layoutInCell="0" allowOverlap="1" wp14:anchorId="1AE2C6E0" wp14:editId="230B8CDC">
                <wp:simplePos x="0" y="0"/>
                <wp:positionH relativeFrom="page">
                  <wp:posOffset>357505</wp:posOffset>
                </wp:positionH>
                <wp:positionV relativeFrom="paragraph">
                  <wp:posOffset>231775</wp:posOffset>
                </wp:positionV>
                <wp:extent cx="6798945" cy="162560"/>
                <wp:effectExtent l="0" t="0" r="20955" b="27940"/>
                <wp:wrapTopAndBottom/>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8945" cy="162560"/>
                        </a:xfrm>
                        <a:prstGeom prst="rect">
                          <a:avLst/>
                        </a:prstGeom>
                        <a:solidFill>
                          <a:srgbClr val="BEBEBE"/>
                        </a:solidFill>
                        <a:ln w="6108" cmpd="sng">
                          <a:solidFill>
                            <a:srgbClr val="000000"/>
                          </a:solidFill>
                          <a:miter lim="800000"/>
                          <a:headEnd/>
                          <a:tailEnd/>
                        </a:ln>
                      </wps:spPr>
                      <wps:txbx>
                        <w:txbxContent>
                          <w:p w14:paraId="2DB96443" w14:textId="77777777" w:rsidR="002C6FC7" w:rsidRDefault="00B52B49">
                            <w:pPr>
                              <w:pStyle w:val="BodyText"/>
                              <w:kinsoku w:val="0"/>
                              <w:overflowPunct w:val="0"/>
                              <w:spacing w:before="18"/>
                              <w:ind w:left="50"/>
                              <w:rPr>
                                <w:b/>
                                <w:bCs/>
                                <w:sz w:val="18"/>
                                <w:szCs w:val="18"/>
                              </w:rPr>
                            </w:pPr>
                            <w:r>
                              <w:rPr>
                                <w:b/>
                                <w:bCs/>
                                <w:sz w:val="18"/>
                                <w:szCs w:val="18"/>
                              </w:rPr>
                              <w:t>Practical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2C6E0" id="Text Box 54" o:spid="_x0000_s1031" type="#_x0000_t202" style="position:absolute;left:0;text-align:left;margin-left:28.15pt;margin-top:18.25pt;width:535.35pt;height:12.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QRGQIAAC0EAAAOAAAAZHJzL2Uyb0RvYy54bWysU2Fv0zAQ/Y7Ef7D8nSataNmiptPWbQhp&#10;DKTBD3AcJ7FwfObsNim/nrPTdmjAF0QiWWf7/Pzu3fP6auwN2yv0GmzJ57OcM2Ul1Nq2Jf/65f7N&#10;BWc+CFsLA1aV/KA8v9q8frUeXKEW0IGpFTICsb4YXMm7EFyRZV52qhd+Bk5Z2mwAexFoim1WoxgI&#10;vTfZIs9X2QBYOwSpvKfV22mTbxJ+0ygZPjWNV4GZkhO3kEZMYxXHbLMWRYvCdVoeaYh/YNELbenS&#10;M9StCILtUP8G1WuJ4KEJMwl9Bk2jpUo1UDXz/EU1T51wKtVC4nh3lsn/P1j5uH9yn5GF8QZGamAq&#10;wrsHkN88s7DthG3VNSIMnRI1XTyPkmWD88XxaJTaFz6CVMNHqKnJYhcgAY0N9lEVqpMROjXgcBZd&#10;jYFJWly9u7y4fLvkTNLefLVYrlJXMlGcTjv04b2CnsWg5EhNTehi/+BDZCOKU0q8zIPR9b02Jk2w&#10;rbYG2V6QAW7u4p8KeJFmLBuIyjwnu8re1SX3tp20+Ctanr4/ofU6kKmN7kt+cU4SRVTwztbJckFo&#10;M8XE3tijpFHFSc8wViPTxGMZL4gKV1AfSGOEycP05ijoAH9wNpB/ifH3nUDFmflgqU/R7KcAT0F1&#10;CoSVdLTkgbMp3IbpUewc6rYj5MkJFq6pl41OMj+zONIlTyb1j+8nmv7Xecp6fuWbnwAAAP//AwBQ&#10;SwMEFAAGAAgAAAAhAJM9/SvcAAAACQEAAA8AAABkcnMvZG93bnJldi54bWxMj8tOwzAQRfdI/IM1&#10;ldhR56G6KMSpUCV2EYiWD3DjIbYaj6PYaQNfj7uC5eg+5tx6t7iBXXAK1pOEfJ0BQ+q8ttRL+Dy+&#10;Pj4BC1GRVoMnlPCNAXbN/V2tKu2v9IGXQ+xZKqFQKQkmxrHiPHQGnQprPyIl7ctPTsV0Tj3Xk7qm&#10;cjfwIssEd8pS+mDUiHuD3fkwu4RRvot825ustXtDP/NbGy1vpXxYLS/PwCIu8c8MN/yUgSYxnfxM&#10;OrBBwkaUySmhFBtgNz0vtmncSYIocuBNzf8vaH4BAAD//wMAUEsBAi0AFAAGAAgAAAAhALaDOJL+&#10;AAAA4QEAABMAAAAAAAAAAAAAAAAAAAAAAFtDb250ZW50X1R5cGVzXS54bWxQSwECLQAUAAYACAAA&#10;ACEAOP0h/9YAAACUAQAACwAAAAAAAAAAAAAAAAAvAQAAX3JlbHMvLnJlbHNQSwECLQAUAAYACAAA&#10;ACEALCDEERkCAAAtBAAADgAAAAAAAAAAAAAAAAAuAgAAZHJzL2Uyb0RvYy54bWxQSwECLQAUAAYA&#10;CAAAACEAkz39K9wAAAAJAQAADwAAAAAAAAAAAAAAAABzBAAAZHJzL2Rvd25yZXYueG1sUEsFBgAA&#10;AAAEAAQA8wAAAHwFAAAAAA==&#10;" o:allowincell="f" fillcolor="#bebebe" strokeweight=".16967mm">
                <v:textbox inset="0,0,0,0">
                  <w:txbxContent>
                    <w:p w14:paraId="2DB96443" w14:textId="77777777" w:rsidR="002C6FC7" w:rsidRDefault="00B52B49">
                      <w:pPr>
                        <w:pStyle w:val="BodyText"/>
                        <w:kinsoku w:val="0"/>
                        <w:overflowPunct w:val="0"/>
                        <w:spacing w:before="18"/>
                        <w:ind w:left="50"/>
                        <w:rPr>
                          <w:b/>
                          <w:bCs/>
                          <w:sz w:val="18"/>
                          <w:szCs w:val="18"/>
                        </w:rPr>
                      </w:pPr>
                      <w:r>
                        <w:rPr>
                          <w:b/>
                          <w:bCs/>
                          <w:sz w:val="18"/>
                          <w:szCs w:val="18"/>
                        </w:rPr>
                        <w:t>Practical Information</w:t>
                      </w:r>
                    </w:p>
                  </w:txbxContent>
                </v:textbox>
                <w10:wrap type="topAndBottom" anchorx="page"/>
              </v:shape>
            </w:pict>
          </mc:Fallback>
        </mc:AlternateContent>
      </w:r>
    </w:p>
    <w:p w14:paraId="2804C8B3" w14:textId="77777777" w:rsidR="002C6FC7" w:rsidRDefault="002C6FC7">
      <w:pPr>
        <w:pStyle w:val="BodyText"/>
        <w:kinsoku w:val="0"/>
        <w:overflowPunct w:val="0"/>
        <w:spacing w:before="8"/>
      </w:pPr>
    </w:p>
    <w:tbl>
      <w:tblPr>
        <w:tblW w:w="0" w:type="auto"/>
        <w:tblInd w:w="102" w:type="dxa"/>
        <w:tblLayout w:type="fixed"/>
        <w:tblCellMar>
          <w:left w:w="0" w:type="dxa"/>
          <w:right w:w="0" w:type="dxa"/>
        </w:tblCellMar>
        <w:tblLook w:val="0000" w:firstRow="0" w:lastRow="0" w:firstColumn="0" w:lastColumn="0" w:noHBand="0" w:noVBand="0"/>
      </w:tblPr>
      <w:tblGrid>
        <w:gridCol w:w="5389"/>
        <w:gridCol w:w="5388"/>
      </w:tblGrid>
      <w:tr w:rsidR="002C6FC7" w14:paraId="201BC68A" w14:textId="77777777">
        <w:trPr>
          <w:trHeight w:val="4893"/>
        </w:trPr>
        <w:tc>
          <w:tcPr>
            <w:tcW w:w="5389" w:type="dxa"/>
            <w:tcBorders>
              <w:top w:val="none" w:sz="6" w:space="0" w:color="auto"/>
              <w:left w:val="none" w:sz="6" w:space="0" w:color="auto"/>
              <w:bottom w:val="none" w:sz="6" w:space="0" w:color="auto"/>
              <w:right w:val="none" w:sz="6" w:space="0" w:color="auto"/>
            </w:tcBorders>
          </w:tcPr>
          <w:p w14:paraId="5A943A6A" w14:textId="77777777" w:rsidR="002C6FC7" w:rsidRDefault="00B52B49">
            <w:pPr>
              <w:pStyle w:val="TableParagraph"/>
              <w:kinsoku w:val="0"/>
              <w:overflowPunct w:val="0"/>
              <w:ind w:left="200" w:right="308"/>
              <w:jc w:val="both"/>
              <w:rPr>
                <w:sz w:val="16"/>
                <w:szCs w:val="16"/>
              </w:rPr>
            </w:pPr>
            <w:r>
              <w:rPr>
                <w:b/>
                <w:bCs/>
                <w:sz w:val="16"/>
                <w:szCs w:val="16"/>
              </w:rPr>
              <w:t xml:space="preserve">Fund Depositary: </w:t>
            </w:r>
            <w:r>
              <w:rPr>
                <w:sz w:val="16"/>
                <w:szCs w:val="16"/>
              </w:rPr>
              <w:t>Northern Trust Fiduciary Services (Ireland) Limited</w:t>
            </w:r>
          </w:p>
          <w:p w14:paraId="0391E7FA" w14:textId="77777777" w:rsidR="002C6FC7" w:rsidRDefault="002C6FC7">
            <w:pPr>
              <w:pStyle w:val="TableParagraph"/>
              <w:kinsoku w:val="0"/>
              <w:overflowPunct w:val="0"/>
              <w:spacing w:before="6"/>
              <w:ind w:left="0"/>
              <w:rPr>
                <w:sz w:val="15"/>
                <w:szCs w:val="15"/>
              </w:rPr>
            </w:pPr>
          </w:p>
          <w:p w14:paraId="4C1FBC5C" w14:textId="0C75C9E4" w:rsidR="002C6FC7" w:rsidRPr="001847EC" w:rsidRDefault="00B52B49" w:rsidP="001847EC">
            <w:pPr>
              <w:pStyle w:val="TableParagraph"/>
              <w:kinsoku w:val="0"/>
              <w:overflowPunct w:val="0"/>
              <w:spacing w:before="1"/>
              <w:ind w:left="200" w:right="308"/>
              <w:jc w:val="both"/>
              <w:rPr>
                <w:sz w:val="16"/>
                <w:szCs w:val="16"/>
              </w:rPr>
            </w:pPr>
            <w:r>
              <w:rPr>
                <w:b/>
                <w:bCs/>
                <w:sz w:val="16"/>
                <w:szCs w:val="16"/>
              </w:rPr>
              <w:t xml:space="preserve">Further Information: </w:t>
            </w:r>
            <w:r>
              <w:rPr>
                <w:sz w:val="16"/>
                <w:szCs w:val="16"/>
              </w:rPr>
              <w:t xml:space="preserve">Copies of the Prospectus and the annual and half-yearly reports </w:t>
            </w:r>
            <w:r w:rsidR="00AF00E7">
              <w:rPr>
                <w:sz w:val="16"/>
                <w:szCs w:val="16"/>
              </w:rPr>
              <w:t xml:space="preserve">of </w:t>
            </w:r>
            <w:r>
              <w:rPr>
                <w:sz w:val="16"/>
                <w:szCs w:val="16"/>
              </w:rPr>
              <w:t xml:space="preserve">the </w:t>
            </w:r>
            <w:r w:rsidR="00AF00E7">
              <w:rPr>
                <w:sz w:val="16"/>
                <w:szCs w:val="16"/>
              </w:rPr>
              <w:t>ICAV</w:t>
            </w:r>
            <w:r>
              <w:rPr>
                <w:sz w:val="16"/>
                <w:szCs w:val="16"/>
              </w:rPr>
              <w:t xml:space="preserve"> are available in English and may be obtained, free of ch</w:t>
            </w:r>
            <w:r w:rsidR="00DC3EAA">
              <w:rPr>
                <w:sz w:val="16"/>
                <w:szCs w:val="16"/>
              </w:rPr>
              <w:t xml:space="preserve">arge, from the Manager </w:t>
            </w:r>
            <w:r>
              <w:rPr>
                <w:sz w:val="16"/>
                <w:szCs w:val="16"/>
              </w:rPr>
              <w:t xml:space="preserve">at 35 Merrion Square East, Dublin 2, Ireland or by visiting </w:t>
            </w:r>
            <w:hyperlink r:id="rId14" w:history="1">
              <w:r>
                <w:rPr>
                  <w:sz w:val="16"/>
                  <w:szCs w:val="16"/>
                </w:rPr>
                <w:t>www.prescient.ie.</w:t>
              </w:r>
            </w:hyperlink>
          </w:p>
          <w:p w14:paraId="5EE34C8E" w14:textId="385676DA" w:rsidR="002C6FC7" w:rsidRPr="001847EC" w:rsidRDefault="00B52B49" w:rsidP="001847EC">
            <w:pPr>
              <w:pStyle w:val="TableParagraph"/>
              <w:kinsoku w:val="0"/>
              <w:overflowPunct w:val="0"/>
              <w:spacing w:before="159"/>
              <w:ind w:left="200" w:right="306"/>
              <w:jc w:val="both"/>
              <w:rPr>
                <w:sz w:val="16"/>
                <w:szCs w:val="16"/>
              </w:rPr>
            </w:pPr>
            <w:r>
              <w:rPr>
                <w:b/>
                <w:bCs/>
                <w:sz w:val="16"/>
                <w:szCs w:val="16"/>
              </w:rPr>
              <w:t xml:space="preserve">Share Price / NAV: </w:t>
            </w:r>
            <w:r>
              <w:rPr>
                <w:sz w:val="16"/>
                <w:szCs w:val="16"/>
              </w:rPr>
              <w:t xml:space="preserve">The net asset value of the Fund is calculated in USD. The unit prices are published in USD on each Business Day. The prices are available from the Investment Manager and the Manager during normal business hours and will be published on Prescient Fund Services (Ireland)'s website at </w:t>
            </w:r>
            <w:hyperlink r:id="rId15" w:history="1">
              <w:r>
                <w:rPr>
                  <w:sz w:val="16"/>
                  <w:szCs w:val="16"/>
                </w:rPr>
                <w:t>www.prescient.ie.</w:t>
              </w:r>
            </w:hyperlink>
          </w:p>
          <w:p w14:paraId="50FCBB7A" w14:textId="77777777" w:rsidR="002C6FC7" w:rsidRDefault="002C6FC7">
            <w:pPr>
              <w:pStyle w:val="TableParagraph"/>
              <w:kinsoku w:val="0"/>
              <w:overflowPunct w:val="0"/>
              <w:spacing w:before="1"/>
              <w:ind w:left="0"/>
              <w:rPr>
                <w:sz w:val="14"/>
                <w:szCs w:val="14"/>
              </w:rPr>
            </w:pPr>
          </w:p>
          <w:p w14:paraId="0AB113A3" w14:textId="77777777" w:rsidR="002C6FC7" w:rsidRDefault="00B52B49">
            <w:pPr>
              <w:pStyle w:val="TableParagraph"/>
              <w:kinsoku w:val="0"/>
              <w:overflowPunct w:val="0"/>
              <w:ind w:left="200" w:right="308"/>
              <w:jc w:val="both"/>
              <w:rPr>
                <w:sz w:val="16"/>
                <w:szCs w:val="16"/>
              </w:rPr>
            </w:pPr>
            <w:r>
              <w:rPr>
                <w:b/>
                <w:bCs/>
                <w:sz w:val="16"/>
                <w:szCs w:val="16"/>
              </w:rPr>
              <w:t xml:space="preserve">Taxation: </w:t>
            </w:r>
            <w:r>
              <w:rPr>
                <w:sz w:val="16"/>
                <w:szCs w:val="16"/>
              </w:rPr>
              <w:t>The Fund is subject to tax laws and regulations of Ireland. Depending on your home country of residence, this might have an impact on your investment. For further details, please speak to an adviser.</w:t>
            </w:r>
          </w:p>
        </w:tc>
        <w:tc>
          <w:tcPr>
            <w:tcW w:w="5388" w:type="dxa"/>
            <w:tcBorders>
              <w:top w:val="none" w:sz="6" w:space="0" w:color="auto"/>
              <w:left w:val="none" w:sz="6" w:space="0" w:color="auto"/>
              <w:bottom w:val="none" w:sz="6" w:space="0" w:color="auto"/>
              <w:right w:val="none" w:sz="6" w:space="0" w:color="auto"/>
            </w:tcBorders>
          </w:tcPr>
          <w:p w14:paraId="4630F175" w14:textId="24A83C5F" w:rsidR="002C6FC7" w:rsidRPr="001847EC" w:rsidRDefault="00B52B49" w:rsidP="001847EC">
            <w:pPr>
              <w:pStyle w:val="TableParagraph"/>
              <w:kinsoku w:val="0"/>
              <w:overflowPunct w:val="0"/>
              <w:ind w:left="309" w:right="196"/>
              <w:jc w:val="both"/>
              <w:rPr>
                <w:sz w:val="16"/>
                <w:szCs w:val="16"/>
              </w:rPr>
            </w:pPr>
            <w:r>
              <w:rPr>
                <w:b/>
                <w:bCs/>
                <w:sz w:val="16"/>
                <w:szCs w:val="16"/>
              </w:rPr>
              <w:t xml:space="preserve">Switches: </w:t>
            </w:r>
            <w:r>
              <w:rPr>
                <w:sz w:val="16"/>
                <w:szCs w:val="16"/>
              </w:rPr>
              <w:t>You are entitled to switch your shares to shares in the same class of another sub-Fund of the ICAV, subject to the sub- Fund's switching charge - see under "Charges for this Fund". Please refer to the Prospectus for further information on how to switch.</w:t>
            </w:r>
          </w:p>
          <w:p w14:paraId="5EABF017" w14:textId="77777777" w:rsidR="002C6FC7" w:rsidRDefault="00B52B49" w:rsidP="00A206D9">
            <w:pPr>
              <w:pStyle w:val="TableParagraph"/>
              <w:kinsoku w:val="0"/>
              <w:overflowPunct w:val="0"/>
              <w:spacing w:before="156"/>
              <w:ind w:left="306" w:right="198"/>
              <w:jc w:val="both"/>
              <w:rPr>
                <w:sz w:val="16"/>
                <w:szCs w:val="16"/>
              </w:rPr>
            </w:pPr>
            <w:r>
              <w:rPr>
                <w:b/>
                <w:bCs/>
                <w:sz w:val="16"/>
                <w:szCs w:val="16"/>
              </w:rPr>
              <w:t xml:space="preserve">Fund Structure: </w:t>
            </w:r>
            <w:r>
              <w:rPr>
                <w:sz w:val="16"/>
                <w:szCs w:val="16"/>
              </w:rPr>
              <w:t xml:space="preserve">This document describes a share class of Seed Global </w:t>
            </w:r>
            <w:r w:rsidR="00DC3EAA">
              <w:rPr>
                <w:sz w:val="16"/>
                <w:szCs w:val="16"/>
              </w:rPr>
              <w:t xml:space="preserve">Equity </w:t>
            </w:r>
            <w:r>
              <w:rPr>
                <w:sz w:val="16"/>
                <w:szCs w:val="16"/>
              </w:rPr>
              <w:t>Fund, a sub-Fund of the ICAV. The assets and liabilities of each sub-Fund of the ICAV are segregated subject to the provisions of Irish law. The Prospectus and Periodic Reports are prepared for the entire ICAV. You can find out more information about the ICAV in the Prospectus.</w:t>
            </w:r>
          </w:p>
          <w:p w14:paraId="0526935A" w14:textId="77777777" w:rsidR="002C6FC7" w:rsidRDefault="002C6FC7">
            <w:pPr>
              <w:pStyle w:val="TableParagraph"/>
              <w:kinsoku w:val="0"/>
              <w:overflowPunct w:val="0"/>
              <w:spacing w:before="10"/>
              <w:ind w:left="0"/>
              <w:rPr>
                <w:sz w:val="15"/>
                <w:szCs w:val="15"/>
              </w:rPr>
            </w:pPr>
          </w:p>
          <w:p w14:paraId="0908CA5A" w14:textId="5772E0A6" w:rsidR="002C6FC7" w:rsidRPr="001847EC" w:rsidRDefault="00B52B49" w:rsidP="001847EC">
            <w:pPr>
              <w:pStyle w:val="TableParagraph"/>
              <w:kinsoku w:val="0"/>
              <w:overflowPunct w:val="0"/>
              <w:ind w:left="309" w:right="198"/>
              <w:jc w:val="both"/>
              <w:rPr>
                <w:sz w:val="16"/>
                <w:szCs w:val="16"/>
              </w:rPr>
            </w:pPr>
            <w:r>
              <w:rPr>
                <w:b/>
                <w:bCs/>
                <w:sz w:val="16"/>
                <w:szCs w:val="16"/>
              </w:rPr>
              <w:t xml:space="preserve">Remuneration: </w:t>
            </w:r>
            <w:r>
              <w:rPr>
                <w:sz w:val="16"/>
                <w:szCs w:val="16"/>
              </w:rPr>
              <w:t xml:space="preserve">Details of the up-to-date remuneration policy of the Manager, including, but not limited to, a description of how remuneration and benefits are calculated, the identity of persons responsible for awarding the remuneration and benefits including the composition of the remuneration committee, if any, are available at </w:t>
            </w:r>
            <w:hyperlink r:id="rId16" w:history="1">
              <w:r>
                <w:rPr>
                  <w:sz w:val="16"/>
                  <w:szCs w:val="16"/>
                </w:rPr>
                <w:t>www.prescient.ie.</w:t>
              </w:r>
            </w:hyperlink>
            <w:r>
              <w:rPr>
                <w:sz w:val="16"/>
                <w:szCs w:val="16"/>
              </w:rPr>
              <w:t xml:space="preserve"> A paper copy of the remuneration policy will be made available free of charge upon request from the Manager.</w:t>
            </w:r>
          </w:p>
          <w:p w14:paraId="3147873C" w14:textId="77777777" w:rsidR="002C6FC7" w:rsidRDefault="00B52B49">
            <w:pPr>
              <w:pStyle w:val="TableParagraph"/>
              <w:kinsoku w:val="0"/>
              <w:overflowPunct w:val="0"/>
              <w:spacing w:before="161"/>
              <w:ind w:left="309" w:right="198"/>
              <w:jc w:val="both"/>
              <w:rPr>
                <w:sz w:val="16"/>
                <w:szCs w:val="16"/>
              </w:rPr>
            </w:pPr>
            <w:r>
              <w:rPr>
                <w:b/>
                <w:bCs/>
                <w:sz w:val="16"/>
                <w:szCs w:val="16"/>
              </w:rPr>
              <w:t xml:space="preserve">Responsibility for Information: </w:t>
            </w:r>
            <w:r>
              <w:rPr>
                <w:sz w:val="16"/>
                <w:szCs w:val="16"/>
              </w:rPr>
              <w:t>The Manager may be held liable solely on the basis of any statement contained in this document that is misleading, inaccurate or inconsistent with the relevant parts of the Prospectus for the</w:t>
            </w:r>
            <w:r>
              <w:rPr>
                <w:spacing w:val="-4"/>
                <w:sz w:val="16"/>
                <w:szCs w:val="16"/>
              </w:rPr>
              <w:t xml:space="preserve"> </w:t>
            </w:r>
            <w:r>
              <w:rPr>
                <w:sz w:val="16"/>
                <w:szCs w:val="16"/>
              </w:rPr>
              <w:t>Fund.</w:t>
            </w:r>
          </w:p>
        </w:tc>
      </w:tr>
      <w:tr w:rsidR="002C6FC7" w:rsidRPr="00DC3EAA" w14:paraId="5F83B8DB" w14:textId="77777777">
        <w:trPr>
          <w:trHeight w:val="479"/>
        </w:trPr>
        <w:tc>
          <w:tcPr>
            <w:tcW w:w="10777" w:type="dxa"/>
            <w:gridSpan w:val="2"/>
            <w:tcBorders>
              <w:top w:val="none" w:sz="6" w:space="0" w:color="auto"/>
              <w:left w:val="none" w:sz="6" w:space="0" w:color="auto"/>
              <w:bottom w:val="none" w:sz="6" w:space="0" w:color="auto"/>
              <w:right w:val="none" w:sz="6" w:space="0" w:color="auto"/>
            </w:tcBorders>
          </w:tcPr>
          <w:p w14:paraId="649C6962" w14:textId="11F8F028" w:rsidR="002C6FC7" w:rsidRPr="00DC3EAA" w:rsidRDefault="00B52B49" w:rsidP="001847EC">
            <w:pPr>
              <w:pStyle w:val="TableParagraph"/>
              <w:kinsoku w:val="0"/>
              <w:overflowPunct w:val="0"/>
              <w:spacing w:before="111" w:line="180" w:lineRule="atLeast"/>
              <w:ind w:left="0" w:right="266"/>
              <w:rPr>
                <w:sz w:val="16"/>
                <w:szCs w:val="16"/>
              </w:rPr>
            </w:pPr>
            <w:r w:rsidRPr="00DC3EAA">
              <w:rPr>
                <w:sz w:val="16"/>
                <w:szCs w:val="16"/>
              </w:rPr>
              <w:t>The ICAV is authorised in Ireland and approved by the Central Bank of Ireland. The Manager is authorised in Ireland and regulated by the Central Bank of Ireland. This Key Information Document is</w:t>
            </w:r>
            <w:r w:rsidR="00DC3EAA">
              <w:rPr>
                <w:sz w:val="16"/>
                <w:szCs w:val="16"/>
              </w:rPr>
              <w:t xml:space="preserve"> accurate as at </w:t>
            </w:r>
            <w:r w:rsidR="003D6846">
              <w:rPr>
                <w:sz w:val="16"/>
                <w:szCs w:val="16"/>
              </w:rPr>
              <w:t>6 September 2022.</w:t>
            </w:r>
          </w:p>
        </w:tc>
      </w:tr>
    </w:tbl>
    <w:p w14:paraId="5B5784BF" w14:textId="77777777" w:rsidR="002C6FC7" w:rsidRPr="00DC3EAA" w:rsidRDefault="002C6FC7"/>
    <w:sectPr w:rsidR="002C6FC7" w:rsidRPr="00DC3EAA">
      <w:pgSz w:w="11910" w:h="16840"/>
      <w:pgMar w:top="560" w:right="540" w:bottom="280" w:left="320" w:header="720" w:footer="720" w:gutter="0"/>
      <w:cols w:space="720" w:equalWidth="0">
        <w:col w:w="110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DA6A" w14:textId="77777777" w:rsidR="00A26D7A" w:rsidRDefault="00A26D7A"/>
  </w:endnote>
  <w:endnote w:type="continuationSeparator" w:id="0">
    <w:p w14:paraId="69B3F506" w14:textId="77777777" w:rsidR="00A26D7A" w:rsidRDefault="00A26D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iDocIDField04155f71-daa1-44fa-8507-733a"/>
  <w:p w14:paraId="0C41D85E" w14:textId="77777777" w:rsidR="00CA41AF" w:rsidRDefault="00CA41AF">
    <w:pPr>
      <w:pStyle w:val="DocID"/>
    </w:pPr>
    <w:r>
      <w:fldChar w:fldCharType="begin"/>
    </w:r>
    <w:r>
      <w:instrText xml:space="preserve">  DOCPROPERTY "CUS_DocIDChunk0" </w:instrText>
    </w:r>
    <w:r>
      <w:fldChar w:fldCharType="separate"/>
    </w:r>
    <w:r>
      <w:rPr>
        <w:noProof/>
      </w:rPr>
      <w:t>10351577v1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b9c9a3c5-e440-4c21-8f03-0cad"/>
  <w:p w14:paraId="561232F2" w14:textId="77777777" w:rsidR="00CA41AF" w:rsidRDefault="00CA41AF">
    <w:pPr>
      <w:pStyle w:val="DocID"/>
    </w:pPr>
    <w:r>
      <w:fldChar w:fldCharType="begin"/>
    </w:r>
    <w:r>
      <w:instrText xml:space="preserve">  DOCPROPERTY "CUS_DocIDChunk0" </w:instrText>
    </w:r>
    <w:r>
      <w:fldChar w:fldCharType="separate"/>
    </w:r>
    <w:r>
      <w:rPr>
        <w:noProof/>
      </w:rPr>
      <w:t>10351577v1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iDocIDField34ab53b7-3432-4566-8393-be05"/>
  <w:p w14:paraId="142D56A5" w14:textId="77777777" w:rsidR="00CA41AF" w:rsidRDefault="00CA41AF">
    <w:pPr>
      <w:pStyle w:val="DocID"/>
    </w:pPr>
    <w:r>
      <w:fldChar w:fldCharType="begin"/>
    </w:r>
    <w:r>
      <w:instrText xml:space="preserve">  DOCPROPERTY "CUS_DocIDChunk0" </w:instrText>
    </w:r>
    <w:r>
      <w:fldChar w:fldCharType="separate"/>
    </w:r>
    <w:r>
      <w:rPr>
        <w:noProof/>
      </w:rPr>
      <w:t>10351577v1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30A3" w14:textId="77777777" w:rsidR="00A26D7A" w:rsidRDefault="00A26D7A"/>
  </w:footnote>
  <w:footnote w:type="continuationSeparator" w:id="0">
    <w:p w14:paraId="39E2289B" w14:textId="77777777" w:rsidR="00A26D7A" w:rsidRDefault="00A26D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F30C6" w14:textId="77777777" w:rsidR="00CA41AF" w:rsidRDefault="00CA41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A90C" w14:textId="77777777" w:rsidR="00CA41AF" w:rsidRDefault="00CA41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28EE" w14:textId="77777777" w:rsidR="00CA41AF" w:rsidRDefault="00CA4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01" w:hanging="101"/>
      </w:pPr>
      <w:rPr>
        <w:rFonts w:ascii="Arial" w:hAnsi="Arial" w:cs="Arial"/>
        <w:b w:val="0"/>
        <w:bCs w:val="0"/>
        <w:w w:val="100"/>
        <w:sz w:val="16"/>
        <w:szCs w:val="16"/>
      </w:rPr>
    </w:lvl>
    <w:lvl w:ilvl="1">
      <w:numFmt w:val="bullet"/>
      <w:lvlText w:val="•"/>
      <w:lvlJc w:val="left"/>
      <w:pPr>
        <w:ind w:left="787" w:hanging="101"/>
      </w:pPr>
    </w:lvl>
    <w:lvl w:ilvl="2">
      <w:numFmt w:val="bullet"/>
      <w:lvlText w:val="•"/>
      <w:lvlJc w:val="left"/>
      <w:pPr>
        <w:ind w:left="1275" w:hanging="101"/>
      </w:pPr>
    </w:lvl>
    <w:lvl w:ilvl="3">
      <w:numFmt w:val="bullet"/>
      <w:lvlText w:val="•"/>
      <w:lvlJc w:val="left"/>
      <w:pPr>
        <w:ind w:left="1762" w:hanging="101"/>
      </w:pPr>
    </w:lvl>
    <w:lvl w:ilvl="4">
      <w:numFmt w:val="bullet"/>
      <w:lvlText w:val="•"/>
      <w:lvlJc w:val="left"/>
      <w:pPr>
        <w:ind w:left="2250" w:hanging="101"/>
      </w:pPr>
    </w:lvl>
    <w:lvl w:ilvl="5">
      <w:numFmt w:val="bullet"/>
      <w:lvlText w:val="•"/>
      <w:lvlJc w:val="left"/>
      <w:pPr>
        <w:ind w:left="2737" w:hanging="101"/>
      </w:pPr>
    </w:lvl>
    <w:lvl w:ilvl="6">
      <w:numFmt w:val="bullet"/>
      <w:lvlText w:val="•"/>
      <w:lvlJc w:val="left"/>
      <w:pPr>
        <w:ind w:left="3225" w:hanging="101"/>
      </w:pPr>
    </w:lvl>
    <w:lvl w:ilvl="7">
      <w:numFmt w:val="bullet"/>
      <w:lvlText w:val="•"/>
      <w:lvlJc w:val="left"/>
      <w:pPr>
        <w:ind w:left="3712" w:hanging="101"/>
      </w:pPr>
    </w:lvl>
    <w:lvl w:ilvl="8">
      <w:numFmt w:val="bullet"/>
      <w:lvlText w:val="•"/>
      <w:lvlJc w:val="left"/>
      <w:pPr>
        <w:ind w:left="4200" w:hanging="101"/>
      </w:pPr>
    </w:lvl>
  </w:abstractNum>
  <w:abstractNum w:abstractNumId="1" w15:restartNumberingAfterBreak="0">
    <w:nsid w:val="00000403"/>
    <w:multiLevelType w:val="multilevel"/>
    <w:tmpl w:val="00000886"/>
    <w:lvl w:ilvl="0">
      <w:numFmt w:val="bullet"/>
      <w:lvlText w:val=""/>
      <w:lvlJc w:val="left"/>
      <w:pPr>
        <w:ind w:left="659" w:hanging="358"/>
      </w:pPr>
      <w:rPr>
        <w:rFonts w:ascii="Symbol" w:hAnsi="Symbol" w:cs="Symbol"/>
        <w:b w:val="0"/>
        <w:bCs w:val="0"/>
        <w:w w:val="99"/>
        <w:sz w:val="20"/>
        <w:szCs w:val="20"/>
      </w:rPr>
    </w:lvl>
    <w:lvl w:ilvl="1">
      <w:numFmt w:val="bullet"/>
      <w:lvlText w:val="•"/>
      <w:lvlJc w:val="left"/>
      <w:pPr>
        <w:ind w:left="1151" w:hanging="358"/>
      </w:pPr>
    </w:lvl>
    <w:lvl w:ilvl="2">
      <w:numFmt w:val="bullet"/>
      <w:lvlText w:val="•"/>
      <w:lvlJc w:val="left"/>
      <w:pPr>
        <w:ind w:left="1642" w:hanging="358"/>
      </w:pPr>
    </w:lvl>
    <w:lvl w:ilvl="3">
      <w:numFmt w:val="bullet"/>
      <w:lvlText w:val="•"/>
      <w:lvlJc w:val="left"/>
      <w:pPr>
        <w:ind w:left="2133" w:hanging="358"/>
      </w:pPr>
    </w:lvl>
    <w:lvl w:ilvl="4">
      <w:numFmt w:val="bullet"/>
      <w:lvlText w:val="•"/>
      <w:lvlJc w:val="left"/>
      <w:pPr>
        <w:ind w:left="2624" w:hanging="358"/>
      </w:pPr>
    </w:lvl>
    <w:lvl w:ilvl="5">
      <w:numFmt w:val="bullet"/>
      <w:lvlText w:val="•"/>
      <w:lvlJc w:val="left"/>
      <w:pPr>
        <w:ind w:left="3116" w:hanging="358"/>
      </w:pPr>
    </w:lvl>
    <w:lvl w:ilvl="6">
      <w:numFmt w:val="bullet"/>
      <w:lvlText w:val="•"/>
      <w:lvlJc w:val="left"/>
      <w:pPr>
        <w:ind w:left="3607" w:hanging="358"/>
      </w:pPr>
    </w:lvl>
    <w:lvl w:ilvl="7">
      <w:numFmt w:val="bullet"/>
      <w:lvlText w:val="•"/>
      <w:lvlJc w:val="left"/>
      <w:pPr>
        <w:ind w:left="4098" w:hanging="358"/>
      </w:pPr>
    </w:lvl>
    <w:lvl w:ilvl="8">
      <w:numFmt w:val="bullet"/>
      <w:lvlText w:val="•"/>
      <w:lvlJc w:val="left"/>
      <w:pPr>
        <w:ind w:left="4589" w:hanging="358"/>
      </w:pPr>
    </w:lvl>
  </w:abstractNum>
  <w:num w:numId="1" w16cid:durableId="179248969">
    <w:abstractNumId w:val="1"/>
  </w:num>
  <w:num w:numId="2" w16cid:durableId="1135877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B49"/>
    <w:rsid w:val="00011EDE"/>
    <w:rsid w:val="00033920"/>
    <w:rsid w:val="001120CD"/>
    <w:rsid w:val="001847EC"/>
    <w:rsid w:val="001D413F"/>
    <w:rsid w:val="00263255"/>
    <w:rsid w:val="002C6FC7"/>
    <w:rsid w:val="002E72FF"/>
    <w:rsid w:val="003408CC"/>
    <w:rsid w:val="00370E74"/>
    <w:rsid w:val="003A3C97"/>
    <w:rsid w:val="003D6846"/>
    <w:rsid w:val="00446B85"/>
    <w:rsid w:val="004F75D9"/>
    <w:rsid w:val="00536FCD"/>
    <w:rsid w:val="005B1C7C"/>
    <w:rsid w:val="00655053"/>
    <w:rsid w:val="008442FF"/>
    <w:rsid w:val="008864C0"/>
    <w:rsid w:val="00A206D9"/>
    <w:rsid w:val="00A26D7A"/>
    <w:rsid w:val="00AE617A"/>
    <w:rsid w:val="00AF00E7"/>
    <w:rsid w:val="00B3637E"/>
    <w:rsid w:val="00B52B49"/>
    <w:rsid w:val="00B75031"/>
    <w:rsid w:val="00C233D4"/>
    <w:rsid w:val="00C551D4"/>
    <w:rsid w:val="00C660F4"/>
    <w:rsid w:val="00CA41AF"/>
    <w:rsid w:val="00D300A6"/>
    <w:rsid w:val="00D55058"/>
    <w:rsid w:val="00D93300"/>
    <w:rsid w:val="00D95D2B"/>
    <w:rsid w:val="00DC3EAA"/>
    <w:rsid w:val="00E34108"/>
    <w:rsid w:val="00E7735E"/>
    <w:rsid w:val="00E83EB5"/>
    <w:rsid w:val="00EB4292"/>
    <w:rsid w:val="00FB0034"/>
    <w:rsid w:val="00FB2755"/>
    <w:rsid w:val="00FB77FE"/>
    <w:rsid w:val="00FD6F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DFF361"/>
  <w14:defaultImageDpi w14:val="96"/>
  <w15:docId w15:val="{F7AD23A9-2FFC-4243-B509-AFA668DD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pPr>
      <w:ind w:left="659" w:right="249" w:hanging="358"/>
      <w:jc w:val="both"/>
    </w:pPr>
    <w:rPr>
      <w:sz w:val="24"/>
      <w:szCs w:val="24"/>
    </w:rPr>
  </w:style>
  <w:style w:type="paragraph" w:customStyle="1" w:styleId="TableParagraph">
    <w:name w:val="Table Paragraph"/>
    <w:basedOn w:val="Normal"/>
    <w:uiPriority w:val="1"/>
    <w:qFormat/>
    <w:pPr>
      <w:ind w:left="55"/>
    </w:pPr>
    <w:rPr>
      <w:sz w:val="24"/>
      <w:szCs w:val="24"/>
    </w:rPr>
  </w:style>
  <w:style w:type="paragraph" w:styleId="Header">
    <w:name w:val="header"/>
    <w:basedOn w:val="Normal"/>
    <w:link w:val="HeaderChar"/>
    <w:uiPriority w:val="99"/>
    <w:unhideWhenUsed/>
    <w:rsid w:val="00B52B49"/>
    <w:pPr>
      <w:tabs>
        <w:tab w:val="center" w:pos="4513"/>
        <w:tab w:val="right" w:pos="9026"/>
      </w:tabs>
    </w:pPr>
  </w:style>
  <w:style w:type="character" w:customStyle="1" w:styleId="HeaderChar">
    <w:name w:val="Header Char"/>
    <w:basedOn w:val="DefaultParagraphFont"/>
    <w:link w:val="Header"/>
    <w:uiPriority w:val="99"/>
    <w:rsid w:val="00B52B49"/>
    <w:rPr>
      <w:rFonts w:ascii="Arial" w:hAnsi="Arial" w:cs="Arial"/>
    </w:rPr>
  </w:style>
  <w:style w:type="paragraph" w:styleId="Footer">
    <w:name w:val="footer"/>
    <w:basedOn w:val="Normal"/>
    <w:link w:val="FooterChar"/>
    <w:uiPriority w:val="99"/>
    <w:unhideWhenUsed/>
    <w:rsid w:val="00B52B49"/>
    <w:pPr>
      <w:tabs>
        <w:tab w:val="center" w:pos="4513"/>
        <w:tab w:val="right" w:pos="9026"/>
      </w:tabs>
    </w:pPr>
  </w:style>
  <w:style w:type="character" w:customStyle="1" w:styleId="FooterChar">
    <w:name w:val="Footer Char"/>
    <w:basedOn w:val="DefaultParagraphFont"/>
    <w:link w:val="Footer"/>
    <w:uiPriority w:val="99"/>
    <w:rsid w:val="00B52B49"/>
    <w:rPr>
      <w:rFonts w:ascii="Arial" w:hAnsi="Arial" w:cs="Arial"/>
    </w:rPr>
  </w:style>
  <w:style w:type="character" w:styleId="CommentReference">
    <w:name w:val="annotation reference"/>
    <w:basedOn w:val="DefaultParagraphFont"/>
    <w:uiPriority w:val="99"/>
    <w:semiHidden/>
    <w:unhideWhenUsed/>
    <w:rsid w:val="00FB2755"/>
    <w:rPr>
      <w:sz w:val="16"/>
      <w:szCs w:val="16"/>
    </w:rPr>
  </w:style>
  <w:style w:type="paragraph" w:styleId="CommentText">
    <w:name w:val="annotation text"/>
    <w:basedOn w:val="Normal"/>
    <w:link w:val="CommentTextChar"/>
    <w:uiPriority w:val="99"/>
    <w:semiHidden/>
    <w:unhideWhenUsed/>
    <w:rsid w:val="00FB2755"/>
    <w:rPr>
      <w:sz w:val="20"/>
      <w:szCs w:val="20"/>
    </w:rPr>
  </w:style>
  <w:style w:type="character" w:customStyle="1" w:styleId="CommentTextChar">
    <w:name w:val="Comment Text Char"/>
    <w:basedOn w:val="DefaultParagraphFont"/>
    <w:link w:val="CommentText"/>
    <w:uiPriority w:val="99"/>
    <w:semiHidden/>
    <w:rsid w:val="00FB275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B2755"/>
    <w:rPr>
      <w:b/>
      <w:bCs/>
    </w:rPr>
  </w:style>
  <w:style w:type="character" w:customStyle="1" w:styleId="CommentSubjectChar">
    <w:name w:val="Comment Subject Char"/>
    <w:basedOn w:val="CommentTextChar"/>
    <w:link w:val="CommentSubject"/>
    <w:uiPriority w:val="99"/>
    <w:semiHidden/>
    <w:rsid w:val="00FB2755"/>
    <w:rPr>
      <w:rFonts w:ascii="Arial" w:hAnsi="Arial" w:cs="Arial"/>
      <w:b/>
      <w:bCs/>
      <w:sz w:val="20"/>
      <w:szCs w:val="20"/>
    </w:rPr>
  </w:style>
  <w:style w:type="paragraph" w:styleId="BalloonText">
    <w:name w:val="Balloon Text"/>
    <w:basedOn w:val="Normal"/>
    <w:link w:val="BalloonTextChar"/>
    <w:uiPriority w:val="99"/>
    <w:semiHidden/>
    <w:unhideWhenUsed/>
    <w:rsid w:val="00FB2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755"/>
    <w:rPr>
      <w:rFonts w:ascii="Segoe UI" w:hAnsi="Segoe UI" w:cs="Segoe UI"/>
      <w:sz w:val="18"/>
      <w:szCs w:val="18"/>
    </w:rPr>
  </w:style>
  <w:style w:type="paragraph" w:customStyle="1" w:styleId="DocID">
    <w:name w:val="DocID"/>
    <w:basedOn w:val="Footer"/>
    <w:next w:val="Footer"/>
    <w:link w:val="DocIDChar"/>
    <w:rsid w:val="00CA41AF"/>
    <w:pPr>
      <w:tabs>
        <w:tab w:val="clear" w:pos="4513"/>
        <w:tab w:val="clear" w:pos="9026"/>
      </w:tabs>
    </w:pPr>
    <w:rPr>
      <w:rFonts w:eastAsia="Times New Roman"/>
      <w:sz w:val="18"/>
      <w:szCs w:val="20"/>
    </w:rPr>
  </w:style>
  <w:style w:type="character" w:customStyle="1" w:styleId="DocIDChar">
    <w:name w:val="DocID Char"/>
    <w:basedOn w:val="DefaultParagraphFont"/>
    <w:link w:val="DocID"/>
    <w:rsid w:val="00CA41AF"/>
    <w:rPr>
      <w:rFonts w:ascii="Arial" w:eastAsia="Times New Roman" w:hAnsi="Arial" w:cs="Arial"/>
      <w:sz w:val="18"/>
      <w:szCs w:val="2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61014">
      <w:bodyDiv w:val="1"/>
      <w:marLeft w:val="0"/>
      <w:marRight w:val="0"/>
      <w:marTop w:val="0"/>
      <w:marBottom w:val="0"/>
      <w:divBdr>
        <w:top w:val="none" w:sz="0" w:space="0" w:color="auto"/>
        <w:left w:val="none" w:sz="0" w:space="0" w:color="auto"/>
        <w:bottom w:val="none" w:sz="0" w:space="0" w:color="auto"/>
        <w:right w:val="none" w:sz="0" w:space="0" w:color="auto"/>
      </w:divBdr>
    </w:div>
    <w:div w:id="96797158">
      <w:bodyDiv w:val="1"/>
      <w:marLeft w:val="0"/>
      <w:marRight w:val="0"/>
      <w:marTop w:val="0"/>
      <w:marBottom w:val="0"/>
      <w:divBdr>
        <w:top w:val="none" w:sz="0" w:space="0" w:color="auto"/>
        <w:left w:val="none" w:sz="0" w:space="0" w:color="auto"/>
        <w:bottom w:val="none" w:sz="0" w:space="0" w:color="auto"/>
        <w:right w:val="none" w:sz="0" w:space="0" w:color="auto"/>
      </w:divBdr>
    </w:div>
    <w:div w:id="406728111">
      <w:bodyDiv w:val="1"/>
      <w:marLeft w:val="0"/>
      <w:marRight w:val="0"/>
      <w:marTop w:val="0"/>
      <w:marBottom w:val="0"/>
      <w:divBdr>
        <w:top w:val="none" w:sz="0" w:space="0" w:color="auto"/>
        <w:left w:val="none" w:sz="0" w:space="0" w:color="auto"/>
        <w:bottom w:val="none" w:sz="0" w:space="0" w:color="auto"/>
        <w:right w:val="none" w:sz="0" w:space="0" w:color="auto"/>
      </w:divBdr>
    </w:div>
    <w:div w:id="70171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scient.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scient.i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resci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1527</Words>
  <Characters>8067</Characters>
  <Application>Microsoft Office Word</Application>
  <DocSecurity>0</DocSecurity>
  <Lines>67</Lines>
  <Paragraphs>19</Paragraphs>
  <ScaleCrop>false</ScaleCrop>
  <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Emma Lally</cp:lastModifiedBy>
  <cp:revision>2</cp:revision>
  <dcterms:created xsi:type="dcterms:W3CDTF">2021-10-28T16:34:00Z</dcterms:created>
  <dcterms:modified xsi:type="dcterms:W3CDTF">2022-09-06T09:17:00Z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Chunk0">
    <vt:lpwstr>10351577v1</vt:lpwstr>
  </property>
  <property fmtid="{D5CDD505-2E9C-101B-9397-08002B2CF9AE}" pid="3" name="CUS_DocIDActiveBits">
    <vt:lpwstr>1046528</vt:lpwstr>
  </property>
  <property fmtid="{D5CDD505-2E9C-101B-9397-08002B2CF9AE}" pid="4" name="CUS_DocIDLocation">
    <vt:lpwstr>EVERY_PAGE</vt:lpwstr>
  </property>
</Properties>
</file>