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B09E" w14:textId="77777777" w:rsidR="00BE2CE4" w:rsidRDefault="00DC24F8">
      <w:pPr>
        <w:spacing w:before="82"/>
        <w:ind w:left="4023" w:right="3997"/>
        <w:jc w:val="center"/>
        <w:rPr>
          <w:b/>
          <w:sz w:val="24"/>
        </w:rPr>
      </w:pPr>
      <w:r>
        <w:rPr>
          <w:b/>
          <w:w w:val="105"/>
          <w:sz w:val="24"/>
        </w:rPr>
        <w:t>Key Investor Information</w:t>
      </w:r>
    </w:p>
    <w:p w14:paraId="709F7F1A" w14:textId="77777777" w:rsidR="00BE2CE4" w:rsidRDefault="00BE2CE4">
      <w:pPr>
        <w:pStyle w:val="BodyText"/>
        <w:rPr>
          <w:b/>
          <w:sz w:val="20"/>
        </w:rPr>
      </w:pPr>
    </w:p>
    <w:p w14:paraId="31DC0341" w14:textId="77777777" w:rsidR="00BE2CE4" w:rsidRDefault="00BE2CE4">
      <w:pPr>
        <w:pStyle w:val="BodyText"/>
        <w:spacing w:before="3"/>
        <w:rPr>
          <w:b/>
          <w:sz w:val="20"/>
        </w:rPr>
      </w:pPr>
    </w:p>
    <w:p w14:paraId="6075A35C" w14:textId="77777777" w:rsidR="00BE2CE4" w:rsidRDefault="00DC24F8">
      <w:pPr>
        <w:pStyle w:val="Heading1"/>
        <w:spacing w:line="271" w:lineRule="auto"/>
        <w:ind w:left="154" w:right="152"/>
      </w:pPr>
      <w:r>
        <w:t>This document provides you with key investor information about this Fund. It is not marketing material. The information is required by law to help</w:t>
      </w:r>
      <w:r>
        <w:rPr>
          <w:spacing w:val="-6"/>
        </w:rPr>
        <w:t xml:space="preserve"> </w:t>
      </w:r>
      <w:r>
        <w:t>you</w:t>
      </w:r>
      <w:r>
        <w:rPr>
          <w:spacing w:val="-6"/>
        </w:rPr>
        <w:t xml:space="preserve"> </w:t>
      </w:r>
      <w:r>
        <w:t>understand</w:t>
      </w:r>
      <w:r>
        <w:rPr>
          <w:spacing w:val="-6"/>
        </w:rPr>
        <w:t xml:space="preserve"> </w:t>
      </w:r>
      <w:r>
        <w:t>the</w:t>
      </w:r>
      <w:r>
        <w:rPr>
          <w:spacing w:val="-6"/>
        </w:rPr>
        <w:t xml:space="preserve"> </w:t>
      </w:r>
      <w:r>
        <w:t>nature</w:t>
      </w:r>
      <w:r>
        <w:rPr>
          <w:spacing w:val="-5"/>
        </w:rPr>
        <w:t xml:space="preserve"> </w:t>
      </w:r>
      <w:r>
        <w:t>and</w:t>
      </w:r>
      <w:r>
        <w:rPr>
          <w:spacing w:val="-6"/>
        </w:rPr>
        <w:t xml:space="preserve"> </w:t>
      </w:r>
      <w:r>
        <w:t>the</w:t>
      </w:r>
      <w:r>
        <w:rPr>
          <w:spacing w:val="-6"/>
        </w:rPr>
        <w:t xml:space="preserve"> </w:t>
      </w:r>
      <w:r>
        <w:t>risks</w:t>
      </w:r>
      <w:r>
        <w:rPr>
          <w:spacing w:val="-6"/>
        </w:rPr>
        <w:t xml:space="preserve"> </w:t>
      </w:r>
      <w:r>
        <w:t>of</w:t>
      </w:r>
      <w:r>
        <w:rPr>
          <w:spacing w:val="-6"/>
        </w:rPr>
        <w:t xml:space="preserve"> </w:t>
      </w:r>
      <w:r>
        <w:t>investing</w:t>
      </w:r>
      <w:r>
        <w:rPr>
          <w:spacing w:val="-5"/>
        </w:rPr>
        <w:t xml:space="preserve"> </w:t>
      </w:r>
      <w:r>
        <w:t>in</w:t>
      </w:r>
      <w:r>
        <w:rPr>
          <w:spacing w:val="-6"/>
        </w:rPr>
        <w:t xml:space="preserve"> </w:t>
      </w:r>
      <w:r>
        <w:t>this</w:t>
      </w:r>
      <w:r>
        <w:rPr>
          <w:spacing w:val="-6"/>
        </w:rPr>
        <w:t xml:space="preserve"> </w:t>
      </w:r>
      <w:r>
        <w:t>Fund.</w:t>
      </w:r>
      <w:r>
        <w:rPr>
          <w:spacing w:val="-6"/>
        </w:rPr>
        <w:t xml:space="preserve"> </w:t>
      </w:r>
      <w:r>
        <w:t>You</w:t>
      </w:r>
      <w:r>
        <w:rPr>
          <w:spacing w:val="-5"/>
        </w:rPr>
        <w:t xml:space="preserve"> </w:t>
      </w:r>
      <w:r>
        <w:t>are</w:t>
      </w:r>
      <w:r>
        <w:rPr>
          <w:spacing w:val="-6"/>
        </w:rPr>
        <w:t xml:space="preserve"> </w:t>
      </w:r>
      <w:r>
        <w:t>advised</w:t>
      </w:r>
      <w:r>
        <w:rPr>
          <w:spacing w:val="-6"/>
        </w:rPr>
        <w:t xml:space="preserve"> </w:t>
      </w:r>
      <w:r>
        <w:t>to</w:t>
      </w:r>
      <w:r>
        <w:rPr>
          <w:spacing w:val="-6"/>
        </w:rPr>
        <w:t xml:space="preserve"> </w:t>
      </w:r>
      <w:r>
        <w:t>read</w:t>
      </w:r>
      <w:r>
        <w:rPr>
          <w:spacing w:val="-6"/>
        </w:rPr>
        <w:t xml:space="preserve"> </w:t>
      </w:r>
      <w:r>
        <w:t>it</w:t>
      </w:r>
      <w:r>
        <w:rPr>
          <w:spacing w:val="-5"/>
        </w:rPr>
        <w:t xml:space="preserve"> </w:t>
      </w:r>
      <w:r>
        <w:t>so</w:t>
      </w:r>
      <w:r>
        <w:rPr>
          <w:spacing w:val="-6"/>
        </w:rPr>
        <w:t xml:space="preserve"> </w:t>
      </w:r>
      <w:r>
        <w:t>you</w:t>
      </w:r>
      <w:r>
        <w:rPr>
          <w:spacing w:val="-6"/>
        </w:rPr>
        <w:t xml:space="preserve"> </w:t>
      </w:r>
      <w:r>
        <w:t>can</w:t>
      </w:r>
      <w:r>
        <w:rPr>
          <w:spacing w:val="-6"/>
        </w:rPr>
        <w:t xml:space="preserve"> </w:t>
      </w:r>
      <w:r>
        <w:t>make</w:t>
      </w:r>
      <w:r>
        <w:rPr>
          <w:spacing w:val="-6"/>
        </w:rPr>
        <w:t xml:space="preserve"> </w:t>
      </w:r>
      <w:r>
        <w:t>an</w:t>
      </w:r>
      <w:r>
        <w:rPr>
          <w:spacing w:val="-5"/>
        </w:rPr>
        <w:t xml:space="preserve"> </w:t>
      </w:r>
      <w:r>
        <w:t>informed</w:t>
      </w:r>
      <w:r>
        <w:rPr>
          <w:spacing w:val="-6"/>
        </w:rPr>
        <w:t xml:space="preserve"> </w:t>
      </w:r>
      <w:r>
        <w:t>decision</w:t>
      </w:r>
      <w:r>
        <w:rPr>
          <w:spacing w:val="-6"/>
        </w:rPr>
        <w:t xml:space="preserve"> </w:t>
      </w:r>
      <w:r>
        <w:t>about whether to</w:t>
      </w:r>
      <w:r>
        <w:rPr>
          <w:spacing w:val="-3"/>
        </w:rPr>
        <w:t xml:space="preserve"> </w:t>
      </w:r>
      <w:r>
        <w:t>invest.</w:t>
      </w:r>
    </w:p>
    <w:p w14:paraId="1C08FCF5" w14:textId="77777777" w:rsidR="00BE2CE4" w:rsidRDefault="00754641">
      <w:pPr>
        <w:pStyle w:val="BodyText"/>
        <w:spacing w:before="8"/>
        <w:rPr>
          <w:b/>
          <w:sz w:val="20"/>
        </w:rPr>
      </w:pPr>
      <w:r>
        <w:pict w14:anchorId="54E74081">
          <v:group id="_x0000_s1068" style="position:absolute;margin-left:23.5pt;margin-top:13.9pt;width:538.8pt;height:70.7pt;z-index:-251656192;mso-wrap-distance-left:0;mso-wrap-distance-right:0;mso-position-horizontal-relative:page" coordorigin="470,278" coordsize="10776,1414">
            <v:shapetype id="_x0000_t202" coordsize="21600,21600" o:spt="202" path="m,l,21600r21600,l21600,xe">
              <v:stroke joinstyle="miter"/>
              <v:path gradientshapeok="t" o:connecttype="rect"/>
            </v:shapetype>
            <v:shape id="_x0000_s1070" type="#_x0000_t202" style="position:absolute;left:470;top:1117;width:10776;height:574" fillcolor="#d9d9d9" stroked="f">
              <v:textbox style="mso-next-textbox:#_x0000_s1070" inset="0,0,0,0">
                <w:txbxContent>
                  <w:p w14:paraId="0D6150F6" w14:textId="5CB1F251" w:rsidR="00BE2CE4" w:rsidRDefault="00DC24F8">
                    <w:pPr>
                      <w:spacing w:before="92"/>
                      <w:ind w:left="23"/>
                      <w:rPr>
                        <w:b/>
                        <w:sz w:val="16"/>
                      </w:rPr>
                    </w:pPr>
                    <w:r>
                      <w:rPr>
                        <w:b/>
                        <w:sz w:val="16"/>
                      </w:rPr>
                      <w:t xml:space="preserve">( Share Class: </w:t>
                    </w:r>
                    <w:r w:rsidR="00063F07">
                      <w:rPr>
                        <w:b/>
                        <w:sz w:val="16"/>
                      </w:rPr>
                      <w:t>D</w:t>
                    </w:r>
                  </w:p>
                  <w:p w14:paraId="696BA347" w14:textId="1A10F25C" w:rsidR="00BE2CE4" w:rsidRDefault="00DC24F8">
                    <w:pPr>
                      <w:spacing w:before="83"/>
                      <w:ind w:left="23"/>
                      <w:rPr>
                        <w:b/>
                        <w:sz w:val="16"/>
                      </w:rPr>
                    </w:pPr>
                    <w:r>
                      <w:rPr>
                        <w:b/>
                        <w:sz w:val="16"/>
                      </w:rPr>
                      <w:t>This Fund is managed by Prescient Fund Services (Ireland) Limited</w:t>
                    </w:r>
                    <w:r w:rsidR="00E76E15">
                      <w:rPr>
                        <w:b/>
                        <w:sz w:val="16"/>
                      </w:rPr>
                      <w:t xml:space="preserve"> (the “Manager”)</w:t>
                    </w:r>
                  </w:p>
                </w:txbxContent>
              </v:textbox>
            </v:shape>
            <v:shape id="_x0000_s1069" type="#_x0000_t202" style="position:absolute;left:470;top:277;width:10776;height:840" fillcolor="#bfbfbf" stroked="f">
              <v:textbox style="mso-next-textbox:#_x0000_s1069" inset="0,0,0,0">
                <w:txbxContent>
                  <w:p w14:paraId="4A2DBFF4" w14:textId="77777777" w:rsidR="00BE2CE4" w:rsidRDefault="00DC24F8">
                    <w:pPr>
                      <w:spacing w:before="67"/>
                      <w:ind w:left="36"/>
                      <w:rPr>
                        <w:b/>
                        <w:sz w:val="24"/>
                      </w:rPr>
                    </w:pPr>
                    <w:r>
                      <w:rPr>
                        <w:b/>
                        <w:w w:val="105"/>
                        <w:sz w:val="24"/>
                      </w:rPr>
                      <w:t>27Four Global Equity Fund of Funds</w:t>
                    </w:r>
                  </w:p>
                  <w:p w14:paraId="5829BE58" w14:textId="10878CE8" w:rsidR="00BE2CE4" w:rsidRDefault="00DC24F8">
                    <w:pPr>
                      <w:spacing w:before="90"/>
                      <w:ind w:left="23"/>
                      <w:rPr>
                        <w:b/>
                        <w:sz w:val="16"/>
                      </w:rPr>
                    </w:pPr>
                    <w:r>
                      <w:rPr>
                        <w:b/>
                        <w:sz w:val="16"/>
                      </w:rPr>
                      <w:t>a sub-Fund of PRESCIENT GLOBAL FUNDS ICAV</w:t>
                    </w:r>
                    <w:r w:rsidR="00E76E15">
                      <w:rPr>
                        <w:b/>
                        <w:sz w:val="16"/>
                      </w:rPr>
                      <w:t xml:space="preserve"> (the “ICAV”)</w:t>
                    </w:r>
                  </w:p>
                </w:txbxContent>
              </v:textbox>
            </v:shape>
            <w10:wrap type="topAndBottom" anchorx="page"/>
          </v:group>
        </w:pict>
      </w:r>
      <w:r>
        <w:pict w14:anchorId="46A2899A">
          <v:shape id="_x0000_s1067" type="#_x0000_t202" style="position:absolute;margin-left:23.1pt;margin-top:102.85pt;width:539.2pt;height:12.75pt;z-index:-251655168;mso-wrap-distance-left:0;mso-wrap-distance-right:0;mso-position-horizontal-relative:page" fillcolor="#bfbfbf" strokeweight=".84pt">
            <v:textbox inset="0,0,0,0">
              <w:txbxContent>
                <w:p w14:paraId="1D902389" w14:textId="77777777" w:rsidR="00BE2CE4" w:rsidRDefault="00DC24F8">
                  <w:pPr>
                    <w:spacing w:before="23"/>
                    <w:ind w:left="26"/>
                    <w:rPr>
                      <w:b/>
                      <w:sz w:val="17"/>
                    </w:rPr>
                  </w:pPr>
                  <w:r>
                    <w:rPr>
                      <w:b/>
                      <w:w w:val="105"/>
                      <w:sz w:val="17"/>
                    </w:rPr>
                    <w:t>Objectives and Investment Policy</w:t>
                  </w:r>
                </w:p>
              </w:txbxContent>
            </v:textbox>
            <w10:wrap type="topAndBottom" anchorx="page"/>
          </v:shape>
        </w:pict>
      </w:r>
    </w:p>
    <w:p w14:paraId="1FDCF223" w14:textId="77777777" w:rsidR="00BE2CE4" w:rsidRDefault="00BE2CE4">
      <w:pPr>
        <w:pStyle w:val="BodyText"/>
        <w:spacing w:before="1"/>
        <w:rPr>
          <w:b/>
          <w:sz w:val="25"/>
        </w:rPr>
      </w:pPr>
    </w:p>
    <w:p w14:paraId="7A41E5DA" w14:textId="77777777" w:rsidR="00BE2CE4" w:rsidRDefault="00BE2CE4">
      <w:pPr>
        <w:rPr>
          <w:sz w:val="25"/>
        </w:rPr>
        <w:sectPr w:rsidR="00BE2CE4">
          <w:type w:val="continuous"/>
          <w:pgSz w:w="11910" w:h="16840"/>
          <w:pgMar w:top="420" w:right="540" w:bottom="280" w:left="340" w:header="720" w:footer="720" w:gutter="0"/>
          <w:cols w:space="720"/>
        </w:sectPr>
      </w:pPr>
    </w:p>
    <w:p w14:paraId="4D1BE4CA" w14:textId="77777777" w:rsidR="00BE2CE4" w:rsidRDefault="00DC24F8">
      <w:pPr>
        <w:pStyle w:val="BodyText"/>
        <w:spacing w:before="82" w:line="259" w:lineRule="auto"/>
        <w:ind w:left="154" w:right="84"/>
        <w:jc w:val="both"/>
      </w:pPr>
      <w:r>
        <w:t>The Fund’s objective is to achieve long term returns in excess of its Benchmark.</w:t>
      </w:r>
    </w:p>
    <w:p w14:paraId="4224F851" w14:textId="77777777" w:rsidR="00BE2CE4" w:rsidRDefault="00BE2CE4">
      <w:pPr>
        <w:pStyle w:val="BodyText"/>
        <w:spacing w:before="4"/>
        <w:rPr>
          <w:sz w:val="17"/>
        </w:rPr>
      </w:pPr>
    </w:p>
    <w:p w14:paraId="1F571A96" w14:textId="77777777" w:rsidR="00BE2CE4" w:rsidRDefault="00DC24F8">
      <w:pPr>
        <w:pStyle w:val="BodyText"/>
        <w:spacing w:line="259" w:lineRule="auto"/>
        <w:ind w:left="154" w:right="81"/>
        <w:jc w:val="both"/>
      </w:pPr>
      <w:r>
        <w:t>The objective is achieved through investing in collective investment schemes</w:t>
      </w:r>
      <w:r>
        <w:rPr>
          <w:spacing w:val="-5"/>
        </w:rPr>
        <w:t xml:space="preserve"> </w:t>
      </w:r>
      <w:r>
        <w:t>or</w:t>
      </w:r>
      <w:r>
        <w:rPr>
          <w:spacing w:val="-7"/>
        </w:rPr>
        <w:t xml:space="preserve"> </w:t>
      </w:r>
      <w:r>
        <w:t>exchange-traded</w:t>
      </w:r>
      <w:r>
        <w:rPr>
          <w:spacing w:val="-3"/>
        </w:rPr>
        <w:t xml:space="preserve"> </w:t>
      </w:r>
      <w:r>
        <w:t>Funds</w:t>
      </w:r>
      <w:r>
        <w:rPr>
          <w:spacing w:val="-8"/>
        </w:rPr>
        <w:t xml:space="preserve"> </w:t>
      </w:r>
      <w:r>
        <w:t>which</w:t>
      </w:r>
      <w:r>
        <w:rPr>
          <w:spacing w:val="-5"/>
        </w:rPr>
        <w:t xml:space="preserve"> </w:t>
      </w:r>
      <w:r>
        <w:t>hold</w:t>
      </w:r>
      <w:r>
        <w:rPr>
          <w:spacing w:val="-6"/>
        </w:rPr>
        <w:t xml:space="preserve"> </w:t>
      </w:r>
      <w:r>
        <w:t>a</w:t>
      </w:r>
      <w:r>
        <w:rPr>
          <w:spacing w:val="-6"/>
        </w:rPr>
        <w:t xml:space="preserve"> </w:t>
      </w:r>
      <w:r>
        <w:t>range</w:t>
      </w:r>
      <w:r>
        <w:rPr>
          <w:spacing w:val="-6"/>
        </w:rPr>
        <w:t xml:space="preserve"> </w:t>
      </w:r>
      <w:r>
        <w:t>of</w:t>
      </w:r>
      <w:r>
        <w:rPr>
          <w:spacing w:val="-4"/>
        </w:rPr>
        <w:t xml:space="preserve"> </w:t>
      </w:r>
      <w:r>
        <w:t>equities</w:t>
      </w:r>
      <w:r>
        <w:rPr>
          <w:spacing w:val="-6"/>
        </w:rPr>
        <w:t xml:space="preserve"> </w:t>
      </w:r>
      <w:r>
        <w:t>(e.g. shares), bonds issued by corporations and governments and other interest bearing securities such as certificates of deposit and money market instruments (meaning forms of debt which mature in less than one</w:t>
      </w:r>
      <w:r>
        <w:rPr>
          <w:spacing w:val="-2"/>
        </w:rPr>
        <w:t xml:space="preserve"> </w:t>
      </w:r>
      <w:r>
        <w:t>year).</w:t>
      </w:r>
    </w:p>
    <w:p w14:paraId="6BA3BA31" w14:textId="77777777" w:rsidR="00BE2CE4" w:rsidRDefault="00BE2CE4">
      <w:pPr>
        <w:pStyle w:val="BodyText"/>
        <w:spacing w:before="7"/>
        <w:rPr>
          <w:sz w:val="17"/>
        </w:rPr>
      </w:pPr>
    </w:p>
    <w:p w14:paraId="032AD181" w14:textId="77777777" w:rsidR="00BE2CE4" w:rsidRDefault="00DC24F8">
      <w:pPr>
        <w:pStyle w:val="BodyText"/>
        <w:spacing w:line="259" w:lineRule="auto"/>
        <w:ind w:left="154" w:right="38"/>
        <w:jc w:val="both"/>
      </w:pPr>
      <w:r>
        <w:t>The Investment Manager has discretion in managing the assets of the Fund. The collective investment schemes are selected upon the completion of  a  thorough  due  diligence. Asset  allocation  will  tend  to be higher in equities,  which  are chosen  to deliver  growth but can be reduced at the discretion of the Investment</w:t>
      </w:r>
      <w:r>
        <w:rPr>
          <w:spacing w:val="17"/>
        </w:rPr>
        <w:t xml:space="preserve"> </w:t>
      </w:r>
      <w:r>
        <w:t>Manager.</w:t>
      </w:r>
    </w:p>
    <w:p w14:paraId="1CB40454" w14:textId="77777777" w:rsidR="00BE2CE4" w:rsidRDefault="00BE2CE4">
      <w:pPr>
        <w:pStyle w:val="BodyText"/>
        <w:spacing w:before="7"/>
        <w:rPr>
          <w:sz w:val="17"/>
        </w:rPr>
      </w:pPr>
    </w:p>
    <w:p w14:paraId="4116C26A" w14:textId="70548EF5" w:rsidR="00BE2CE4" w:rsidRDefault="00DC24F8">
      <w:pPr>
        <w:pStyle w:val="BodyText"/>
        <w:spacing w:line="259" w:lineRule="auto"/>
        <w:ind w:left="154" w:right="38"/>
        <w:jc w:val="both"/>
      </w:pPr>
      <w:r>
        <w:t>The Fund may use derivatives to manage the risk profile of the Fund, for example to reduce the impact of price or exchange rate movements. The Fund may also invest in global currencies directly or through the use of financial derivatives. The currencies chosen by the Fund will mainly be with stable economies to reduce</w:t>
      </w:r>
      <w:r>
        <w:rPr>
          <w:spacing w:val="-14"/>
        </w:rPr>
        <w:t xml:space="preserve"> </w:t>
      </w:r>
      <w:r>
        <w:t>risk.</w:t>
      </w:r>
    </w:p>
    <w:p w14:paraId="76FD4A35" w14:textId="6E14C12C" w:rsidR="00DC24F8" w:rsidRDefault="00DC24F8">
      <w:pPr>
        <w:pStyle w:val="BodyText"/>
        <w:spacing w:line="259" w:lineRule="auto"/>
        <w:ind w:left="154" w:right="38"/>
        <w:jc w:val="both"/>
      </w:pPr>
    </w:p>
    <w:p w14:paraId="167CE75D" w14:textId="77777777" w:rsidR="00DC24F8" w:rsidRDefault="00DC24F8" w:rsidP="00DC24F8">
      <w:pPr>
        <w:pStyle w:val="BodyText"/>
        <w:spacing w:before="82" w:line="259" w:lineRule="auto"/>
        <w:ind w:left="154" w:right="149"/>
        <w:jc w:val="both"/>
      </w:pPr>
      <w:r>
        <w:t>The Fund has a global investment strategy, with no particular target in relation to any industrial, geographic or other market sectors.</w:t>
      </w:r>
    </w:p>
    <w:p w14:paraId="50C49D2C" w14:textId="77777777" w:rsidR="00DC24F8" w:rsidRDefault="00DC24F8" w:rsidP="00DC24F8">
      <w:pPr>
        <w:pStyle w:val="BodyText"/>
        <w:spacing w:before="5"/>
        <w:rPr>
          <w:sz w:val="17"/>
        </w:rPr>
      </w:pPr>
    </w:p>
    <w:p w14:paraId="21CE7847" w14:textId="77777777" w:rsidR="00DC24F8" w:rsidRDefault="00DC24F8" w:rsidP="00DC24F8">
      <w:pPr>
        <w:pStyle w:val="BodyText"/>
        <w:spacing w:line="259" w:lineRule="auto"/>
        <w:ind w:left="154" w:right="149"/>
        <w:jc w:val="both"/>
      </w:pPr>
      <w:r>
        <w:t>The Fund may also invest over 30% of its net assets in emerging markets, which in investment terms are those economies that are still developing.</w:t>
      </w:r>
    </w:p>
    <w:p w14:paraId="08E906BA" w14:textId="77777777" w:rsidR="00DC24F8" w:rsidRDefault="00DC24F8" w:rsidP="00DC24F8">
      <w:pPr>
        <w:pStyle w:val="BodyText"/>
        <w:spacing w:before="5"/>
        <w:rPr>
          <w:sz w:val="17"/>
        </w:rPr>
      </w:pPr>
    </w:p>
    <w:p w14:paraId="6EB3B342" w14:textId="77777777" w:rsidR="00DC24F8" w:rsidRDefault="00DC24F8" w:rsidP="00DC24F8">
      <w:pPr>
        <w:pStyle w:val="BodyText"/>
        <w:ind w:left="154"/>
        <w:jc w:val="both"/>
      </w:pPr>
      <w:r>
        <w:t>The Fund’s performance is measured against the MSCI World Index.</w:t>
      </w:r>
    </w:p>
    <w:p w14:paraId="2D43A0CF" w14:textId="77777777" w:rsidR="00DC24F8" w:rsidRDefault="00DC24F8">
      <w:pPr>
        <w:pStyle w:val="BodyText"/>
        <w:spacing w:line="259" w:lineRule="auto"/>
        <w:ind w:left="154" w:right="38"/>
        <w:jc w:val="both"/>
      </w:pPr>
    </w:p>
    <w:p w14:paraId="160812EB" w14:textId="2D6B6119" w:rsidR="00BE2CE4" w:rsidRDefault="00DC24F8" w:rsidP="00D46DB4">
      <w:pPr>
        <w:pStyle w:val="BodyText"/>
        <w:spacing w:before="82" w:line="259" w:lineRule="auto"/>
        <w:ind w:left="154" w:right="149"/>
        <w:jc w:val="both"/>
      </w:pPr>
      <w:r>
        <w:br w:type="column"/>
      </w:r>
    </w:p>
    <w:p w14:paraId="166CBC23" w14:textId="5790E429" w:rsidR="00DC24F8" w:rsidRPr="00E76E15" w:rsidRDefault="00D46DB4">
      <w:pPr>
        <w:pStyle w:val="BodyText"/>
        <w:ind w:left="154"/>
        <w:jc w:val="both"/>
      </w:pPr>
      <w:r w:rsidRPr="00E76E15">
        <w:t>The Fund is actively managed in reference to MSCI World Index by virtue of the fact that the investment objective of the Fund is to outperform the Benchmark and performance fees are calculated on out-performance of the Fund against the Benchmark.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material. There is a target maximum annualised tracking error of 7%.</w:t>
      </w:r>
    </w:p>
    <w:p w14:paraId="44948447" w14:textId="77777777" w:rsidR="00DC24F8" w:rsidRDefault="00DC24F8">
      <w:pPr>
        <w:pStyle w:val="BodyText"/>
        <w:ind w:left="154"/>
        <w:jc w:val="both"/>
      </w:pPr>
    </w:p>
    <w:p w14:paraId="4ECA7B71" w14:textId="77777777" w:rsidR="00BE2CE4" w:rsidRDefault="00BE2CE4">
      <w:pPr>
        <w:pStyle w:val="BodyText"/>
        <w:spacing w:before="8"/>
        <w:rPr>
          <w:sz w:val="18"/>
        </w:rPr>
      </w:pPr>
    </w:p>
    <w:p w14:paraId="48EE6F1F" w14:textId="77777777" w:rsidR="00BE2CE4" w:rsidRDefault="00DC24F8">
      <w:pPr>
        <w:pStyle w:val="BodyText"/>
        <w:spacing w:line="259" w:lineRule="auto"/>
        <w:ind w:left="154" w:right="148"/>
        <w:jc w:val="both"/>
      </w:pPr>
      <w:r>
        <w:t>Any income arising from the Fund will be reinvested and it is not intended that the Fund will pay dividends.</w:t>
      </w:r>
    </w:p>
    <w:p w14:paraId="7E29E6A1" w14:textId="77777777" w:rsidR="00BE2CE4" w:rsidRDefault="00BE2CE4">
      <w:pPr>
        <w:pStyle w:val="BodyText"/>
        <w:spacing w:before="4"/>
        <w:rPr>
          <w:sz w:val="17"/>
        </w:rPr>
      </w:pPr>
    </w:p>
    <w:p w14:paraId="28819DAF" w14:textId="77777777" w:rsidR="00BE2CE4" w:rsidRDefault="00DC24F8">
      <w:pPr>
        <w:pStyle w:val="BodyText"/>
        <w:spacing w:before="1"/>
        <w:ind w:left="154"/>
        <w:jc w:val="both"/>
      </w:pPr>
      <w:r>
        <w:t>You may buy and sell shares in the Fund on each Irish Business Day.</w:t>
      </w:r>
    </w:p>
    <w:p w14:paraId="0F8B0B55" w14:textId="77777777" w:rsidR="00BE2CE4" w:rsidRDefault="00BE2CE4">
      <w:pPr>
        <w:pStyle w:val="BodyText"/>
        <w:spacing w:before="7"/>
        <w:rPr>
          <w:sz w:val="18"/>
        </w:rPr>
      </w:pPr>
    </w:p>
    <w:p w14:paraId="643E7DAA" w14:textId="12FADC6D" w:rsidR="00BE2CE4" w:rsidRDefault="00DC24F8">
      <w:pPr>
        <w:pStyle w:val="BodyText"/>
        <w:spacing w:line="259" w:lineRule="auto"/>
        <w:ind w:left="154" w:right="149"/>
        <w:jc w:val="both"/>
      </w:pPr>
      <w:r>
        <w:t xml:space="preserve">Unless otherwise defined in this document, all words and expressions defined in the </w:t>
      </w:r>
      <w:r w:rsidR="00E76E15">
        <w:t>ICAV</w:t>
      </w:r>
      <w:r>
        <w:t>'s current Prospectus shall have the same meaning herein. Please refer to the “Investment Objectives and Policies” section of the Prospectus for further information.</w:t>
      </w:r>
    </w:p>
    <w:p w14:paraId="4C67CF07" w14:textId="77777777" w:rsidR="00BE2CE4" w:rsidRDefault="00BE2CE4">
      <w:pPr>
        <w:spacing w:line="259" w:lineRule="auto"/>
        <w:jc w:val="both"/>
        <w:sectPr w:rsidR="00BE2CE4">
          <w:type w:val="continuous"/>
          <w:pgSz w:w="11910" w:h="16840"/>
          <w:pgMar w:top="420" w:right="540" w:bottom="280" w:left="340" w:header="720" w:footer="720" w:gutter="0"/>
          <w:cols w:num="2" w:space="720" w:equalWidth="0">
            <w:col w:w="5303" w:space="357"/>
            <w:col w:w="5370"/>
          </w:cols>
        </w:sectPr>
      </w:pPr>
    </w:p>
    <w:p w14:paraId="457E2B71" w14:textId="09E344DF" w:rsidR="00BE2CE4" w:rsidRDefault="00754641">
      <w:pPr>
        <w:pStyle w:val="BodyText"/>
        <w:rPr>
          <w:sz w:val="20"/>
        </w:rPr>
      </w:pPr>
      <w:r>
        <w:rPr>
          <w:sz w:val="20"/>
        </w:rPr>
      </w:r>
      <w:r>
        <w:rPr>
          <w:sz w:val="20"/>
        </w:rPr>
        <w:pict w14:anchorId="31975FE5">
          <v:shape id="_x0000_s1072" type="#_x0000_t202" style="width:539.2pt;height:12.75pt;mso-left-percent:-10001;mso-top-percent:-10001;mso-position-horizontal:absolute;mso-position-horizontal-relative:char;mso-position-vertical:absolute;mso-position-vertical-relative:line;mso-left-percent:-10001;mso-top-percent:-10001" fillcolor="#bfbfbf" strokeweight=".84pt">
            <v:textbox style="mso-next-textbox:#_x0000_s1072" inset="0,0,0,0">
              <w:txbxContent>
                <w:p w14:paraId="17469588" w14:textId="77777777" w:rsidR="00D46DB4" w:rsidRDefault="00D46DB4" w:rsidP="00D46DB4">
                  <w:pPr>
                    <w:spacing w:before="23"/>
                    <w:ind w:left="26"/>
                    <w:rPr>
                      <w:b/>
                      <w:sz w:val="17"/>
                    </w:rPr>
                  </w:pPr>
                  <w:r>
                    <w:rPr>
                      <w:b/>
                      <w:w w:val="105"/>
                      <w:sz w:val="17"/>
                    </w:rPr>
                    <w:t>Risk and Reward Profile of the Fund</w:t>
                  </w:r>
                </w:p>
              </w:txbxContent>
            </v:textbox>
            <w10:anchorlock/>
          </v:shape>
        </w:pict>
      </w:r>
    </w:p>
    <w:p w14:paraId="632835A2" w14:textId="77777777" w:rsidR="00BE2CE4" w:rsidRDefault="00BE2CE4">
      <w:pPr>
        <w:rPr>
          <w:sz w:val="6"/>
        </w:rPr>
        <w:sectPr w:rsidR="00BE2CE4">
          <w:type w:val="continuous"/>
          <w:pgSz w:w="11910" w:h="16840"/>
          <w:pgMar w:top="420" w:right="540" w:bottom="280" w:left="340" w:header="720" w:footer="720" w:gutter="0"/>
          <w:cols w:space="720"/>
        </w:sectPr>
      </w:pPr>
    </w:p>
    <w:p w14:paraId="189E6930" w14:textId="77777777" w:rsidR="00BE2CE4" w:rsidRDefault="00DC24F8">
      <w:pPr>
        <w:tabs>
          <w:tab w:val="left" w:pos="4048"/>
        </w:tabs>
        <w:spacing w:before="97"/>
        <w:ind w:left="270"/>
        <w:rPr>
          <w:b/>
          <w:sz w:val="14"/>
        </w:rPr>
      </w:pPr>
      <w:r>
        <w:rPr>
          <w:b/>
          <w:sz w:val="14"/>
        </w:rPr>
        <w:t>Lower</w:t>
      </w:r>
      <w:r>
        <w:rPr>
          <w:b/>
          <w:spacing w:val="1"/>
          <w:sz w:val="14"/>
        </w:rPr>
        <w:t xml:space="preserve"> </w:t>
      </w:r>
      <w:r>
        <w:rPr>
          <w:b/>
          <w:sz w:val="14"/>
        </w:rPr>
        <w:t>Risk</w:t>
      </w:r>
      <w:r>
        <w:rPr>
          <w:b/>
          <w:sz w:val="14"/>
        </w:rPr>
        <w:tab/>
        <w:t>Higher Risk</w:t>
      </w:r>
    </w:p>
    <w:p w14:paraId="1036080B" w14:textId="77777777" w:rsidR="00BE2CE4" w:rsidRDefault="00BE2CE4">
      <w:pPr>
        <w:pStyle w:val="BodyText"/>
        <w:rPr>
          <w:b/>
          <w:sz w:val="11"/>
        </w:rPr>
      </w:pPr>
    </w:p>
    <w:p w14:paraId="03DF4AEB" w14:textId="77777777" w:rsidR="00BE2CE4" w:rsidRDefault="00754641">
      <w:pPr>
        <w:pStyle w:val="BodyText"/>
        <w:spacing w:line="146" w:lineRule="exact"/>
        <w:ind w:left="168"/>
        <w:rPr>
          <w:sz w:val="14"/>
        </w:rPr>
      </w:pPr>
      <w:r>
        <w:rPr>
          <w:position w:val="-2"/>
          <w:sz w:val="14"/>
        </w:rPr>
      </w:r>
      <w:r>
        <w:rPr>
          <w:position w:val="-2"/>
          <w:sz w:val="14"/>
        </w:rPr>
        <w:pict w14:anchorId="01892133">
          <v:group id="_x0000_s1064" style="width:249.85pt;height:7.35pt;mso-position-horizontal-relative:char;mso-position-vertical-relative:line" coordsize="4997,147">
            <v:shape id="_x0000_s1065" style="position:absolute;width:4997;height:147" coordsize="4997,147" o:spt="100" adj="0,,0" path="m134,r-7,l122,2,,72r122,72l127,146r7,l139,139r3,-5l139,127r-5,-2l63,84r-39,l24,62r39,l134,22r5,-5l142,12,139,5,134,xm4956,73r-91,52l4860,127r-2,7l4860,139r5,7l4872,146r5,-2l4977,84r-2,l4975,82r-5,l4956,73xm63,62r-39,l24,84r39,l58,82r-29,l29,65r29,l63,62xm4937,62l63,62,44,73,63,84r4874,l4956,73,4937,62xm4980,62r-5,l4975,84r2,l4997,72,4980,62xm29,65r,17l44,73,29,65xm44,73l29,82r29,l44,73xm4970,65r-14,8l4970,82r,-17xm4975,65r-5,l4970,82r5,l4975,65xm58,65r-29,l44,73,58,65xm4872,r-7,l4860,5r-2,7l4860,17r5,5l4956,73r14,-8l4975,65r,-3l4980,62,4877,2,4872,xe" fillcolor="#a6a6a6" stroked="f">
              <v:stroke joinstyle="round"/>
              <v:formulas/>
              <v:path arrowok="t" o:connecttype="segments"/>
            </v:shape>
            <w10:anchorlock/>
          </v:group>
        </w:pict>
      </w:r>
    </w:p>
    <w:p w14:paraId="2849C056" w14:textId="77777777" w:rsidR="00BE2CE4" w:rsidRDefault="00BE2CE4">
      <w:pPr>
        <w:pStyle w:val="BodyText"/>
        <w:spacing w:before="11"/>
        <w:rPr>
          <w:b/>
          <w:sz w:val="14"/>
        </w:rPr>
      </w:pPr>
    </w:p>
    <w:p w14:paraId="3064681A" w14:textId="77777777" w:rsidR="00BE2CE4" w:rsidRDefault="00DC24F8">
      <w:pPr>
        <w:tabs>
          <w:tab w:val="left" w:pos="3080"/>
        </w:tabs>
        <w:ind w:left="270"/>
        <w:rPr>
          <w:b/>
          <w:sz w:val="14"/>
        </w:rPr>
      </w:pPr>
      <w:r>
        <w:rPr>
          <w:b/>
          <w:sz w:val="14"/>
        </w:rPr>
        <w:t>Typically</w:t>
      </w:r>
      <w:r>
        <w:rPr>
          <w:b/>
          <w:spacing w:val="2"/>
          <w:sz w:val="14"/>
        </w:rPr>
        <w:t xml:space="preserve"> </w:t>
      </w:r>
      <w:r>
        <w:rPr>
          <w:b/>
          <w:sz w:val="14"/>
        </w:rPr>
        <w:t>lower</w:t>
      </w:r>
      <w:r>
        <w:rPr>
          <w:b/>
          <w:spacing w:val="3"/>
          <w:sz w:val="14"/>
        </w:rPr>
        <w:t xml:space="preserve"> </w:t>
      </w:r>
      <w:r>
        <w:rPr>
          <w:b/>
          <w:sz w:val="14"/>
        </w:rPr>
        <w:t>rewards</w:t>
      </w:r>
      <w:r>
        <w:rPr>
          <w:b/>
          <w:sz w:val="14"/>
        </w:rPr>
        <w:tab/>
        <w:t>Typically Higher</w:t>
      </w:r>
      <w:r>
        <w:rPr>
          <w:b/>
          <w:spacing w:val="7"/>
          <w:sz w:val="14"/>
        </w:rPr>
        <w:t xml:space="preserve"> </w:t>
      </w:r>
      <w:r>
        <w:rPr>
          <w:b/>
          <w:sz w:val="14"/>
        </w:rPr>
        <w:t>Rewards</w:t>
      </w:r>
    </w:p>
    <w:p w14:paraId="16FA8484" w14:textId="77777777" w:rsidR="00BE2CE4" w:rsidRDefault="00BE2CE4">
      <w:pPr>
        <w:pStyle w:val="BodyText"/>
        <w:rPr>
          <w:b/>
          <w:sz w:val="20"/>
        </w:rPr>
      </w:pPr>
    </w:p>
    <w:p w14:paraId="23BA71FA" w14:textId="77777777" w:rsidR="00BE2CE4" w:rsidRDefault="00BE2CE4">
      <w:pPr>
        <w:pStyle w:val="BodyText"/>
        <w:spacing w:before="1"/>
        <w:rPr>
          <w:b/>
          <w:sz w:val="14"/>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2"/>
        <w:gridCol w:w="732"/>
        <w:gridCol w:w="732"/>
        <w:gridCol w:w="732"/>
        <w:gridCol w:w="732"/>
        <w:gridCol w:w="732"/>
        <w:gridCol w:w="732"/>
      </w:tblGrid>
      <w:tr w:rsidR="00BE2CE4" w14:paraId="0D25DC79" w14:textId="77777777" w:rsidTr="00754641">
        <w:trPr>
          <w:trHeight w:val="373"/>
        </w:trPr>
        <w:tc>
          <w:tcPr>
            <w:tcW w:w="732" w:type="dxa"/>
          </w:tcPr>
          <w:p w14:paraId="42B35C3C" w14:textId="77777777" w:rsidR="00BE2CE4" w:rsidRDefault="00DC24F8">
            <w:pPr>
              <w:pStyle w:val="TableParagraph"/>
              <w:ind w:left="19"/>
              <w:jc w:val="center"/>
              <w:rPr>
                <w:b/>
                <w:sz w:val="19"/>
              </w:rPr>
            </w:pPr>
            <w:r>
              <w:rPr>
                <w:b/>
                <w:color w:val="7F7F7F"/>
                <w:w w:val="102"/>
                <w:sz w:val="19"/>
              </w:rPr>
              <w:t>1</w:t>
            </w:r>
          </w:p>
        </w:tc>
        <w:tc>
          <w:tcPr>
            <w:tcW w:w="732" w:type="dxa"/>
          </w:tcPr>
          <w:p w14:paraId="75E65085" w14:textId="77777777" w:rsidR="00BE2CE4" w:rsidRDefault="00DC24F8">
            <w:pPr>
              <w:pStyle w:val="TableParagraph"/>
              <w:ind w:left="19"/>
              <w:jc w:val="center"/>
              <w:rPr>
                <w:b/>
                <w:sz w:val="19"/>
              </w:rPr>
            </w:pPr>
            <w:r>
              <w:rPr>
                <w:b/>
                <w:color w:val="7F7F7F"/>
                <w:w w:val="102"/>
                <w:sz w:val="19"/>
              </w:rPr>
              <w:t>2</w:t>
            </w:r>
          </w:p>
        </w:tc>
        <w:tc>
          <w:tcPr>
            <w:tcW w:w="732" w:type="dxa"/>
          </w:tcPr>
          <w:p w14:paraId="1FABFFA5" w14:textId="77777777" w:rsidR="00BE2CE4" w:rsidRDefault="00DC24F8">
            <w:pPr>
              <w:pStyle w:val="TableParagraph"/>
              <w:ind w:left="19"/>
              <w:jc w:val="center"/>
              <w:rPr>
                <w:b/>
                <w:sz w:val="19"/>
              </w:rPr>
            </w:pPr>
            <w:r>
              <w:rPr>
                <w:b/>
                <w:color w:val="7F7F7F"/>
                <w:w w:val="102"/>
                <w:sz w:val="19"/>
              </w:rPr>
              <w:t>3</w:t>
            </w:r>
          </w:p>
        </w:tc>
        <w:tc>
          <w:tcPr>
            <w:tcW w:w="732" w:type="dxa"/>
          </w:tcPr>
          <w:p w14:paraId="247B2433" w14:textId="77777777" w:rsidR="00BE2CE4" w:rsidRDefault="00DC24F8">
            <w:pPr>
              <w:pStyle w:val="TableParagraph"/>
              <w:ind w:left="18"/>
              <w:jc w:val="center"/>
              <w:rPr>
                <w:b/>
                <w:sz w:val="19"/>
              </w:rPr>
            </w:pPr>
            <w:r>
              <w:rPr>
                <w:b/>
                <w:color w:val="7F7F7F"/>
                <w:w w:val="102"/>
                <w:sz w:val="19"/>
              </w:rPr>
              <w:t>4</w:t>
            </w:r>
          </w:p>
        </w:tc>
        <w:tc>
          <w:tcPr>
            <w:tcW w:w="732" w:type="dxa"/>
            <w:shd w:val="clear" w:color="auto" w:fill="auto"/>
          </w:tcPr>
          <w:p w14:paraId="23288867" w14:textId="77777777" w:rsidR="00BE2CE4" w:rsidRPr="00754641" w:rsidRDefault="00DC24F8">
            <w:pPr>
              <w:pStyle w:val="TableParagraph"/>
              <w:ind w:left="18"/>
              <w:jc w:val="center"/>
              <w:rPr>
                <w:b/>
                <w:color w:val="BFBFBF" w:themeColor="background1" w:themeShade="BF"/>
                <w:sz w:val="19"/>
              </w:rPr>
            </w:pPr>
            <w:r w:rsidRPr="00754641">
              <w:rPr>
                <w:b/>
                <w:color w:val="BFBFBF" w:themeColor="background1" w:themeShade="BF"/>
                <w:w w:val="102"/>
                <w:sz w:val="19"/>
              </w:rPr>
              <w:t>5</w:t>
            </w:r>
          </w:p>
        </w:tc>
        <w:tc>
          <w:tcPr>
            <w:tcW w:w="732" w:type="dxa"/>
            <w:shd w:val="clear" w:color="auto" w:fill="BFBFBF" w:themeFill="background1" w:themeFillShade="BF"/>
          </w:tcPr>
          <w:p w14:paraId="6505A305" w14:textId="77777777" w:rsidR="00BE2CE4" w:rsidRPr="00754641" w:rsidRDefault="00DC24F8">
            <w:pPr>
              <w:pStyle w:val="TableParagraph"/>
              <w:ind w:left="19"/>
              <w:jc w:val="center"/>
              <w:rPr>
                <w:b/>
                <w:sz w:val="19"/>
              </w:rPr>
            </w:pPr>
            <w:r w:rsidRPr="00754641">
              <w:rPr>
                <w:b/>
                <w:w w:val="102"/>
                <w:sz w:val="19"/>
              </w:rPr>
              <w:t>6</w:t>
            </w:r>
          </w:p>
        </w:tc>
        <w:tc>
          <w:tcPr>
            <w:tcW w:w="732" w:type="dxa"/>
          </w:tcPr>
          <w:p w14:paraId="244BDB39" w14:textId="77777777" w:rsidR="00BE2CE4" w:rsidRDefault="00DC24F8">
            <w:pPr>
              <w:pStyle w:val="TableParagraph"/>
              <w:ind w:left="19"/>
              <w:jc w:val="center"/>
              <w:rPr>
                <w:b/>
                <w:sz w:val="19"/>
              </w:rPr>
            </w:pPr>
            <w:r>
              <w:rPr>
                <w:b/>
                <w:color w:val="7F7F7F"/>
                <w:w w:val="102"/>
                <w:sz w:val="19"/>
              </w:rPr>
              <w:t>7</w:t>
            </w:r>
          </w:p>
        </w:tc>
      </w:tr>
    </w:tbl>
    <w:p w14:paraId="0087BB5E" w14:textId="77777777" w:rsidR="00BE2CE4" w:rsidRDefault="00BE2CE4">
      <w:pPr>
        <w:pStyle w:val="BodyText"/>
        <w:spacing w:before="6"/>
        <w:rPr>
          <w:b/>
          <w:sz w:val="17"/>
        </w:rPr>
      </w:pPr>
    </w:p>
    <w:p w14:paraId="722BBB78" w14:textId="77777777" w:rsidR="00BE2CE4" w:rsidRDefault="00DC24F8">
      <w:pPr>
        <w:pStyle w:val="BodyText"/>
        <w:spacing w:line="259" w:lineRule="auto"/>
        <w:ind w:left="154"/>
      </w:pPr>
      <w:r>
        <w:t>The indicator above is not a measure of the risk of capital loss, but a measure of the Fund's price movement over time.</w:t>
      </w:r>
    </w:p>
    <w:p w14:paraId="12C3DEE3" w14:textId="77777777" w:rsidR="00BE2CE4" w:rsidRDefault="00BE2CE4">
      <w:pPr>
        <w:pStyle w:val="BodyText"/>
        <w:spacing w:before="4"/>
        <w:rPr>
          <w:sz w:val="17"/>
        </w:rPr>
      </w:pPr>
    </w:p>
    <w:p w14:paraId="7F4A65E1" w14:textId="77777777" w:rsidR="00BE2CE4" w:rsidRDefault="00DC24F8">
      <w:pPr>
        <w:pStyle w:val="ListParagraph"/>
        <w:numPr>
          <w:ilvl w:val="0"/>
          <w:numId w:val="1"/>
        </w:numPr>
        <w:tabs>
          <w:tab w:val="left" w:pos="260"/>
        </w:tabs>
        <w:spacing w:line="259" w:lineRule="auto"/>
        <w:ind w:right="74" w:firstLine="0"/>
        <w:rPr>
          <w:sz w:val="16"/>
        </w:rPr>
      </w:pPr>
      <w:r>
        <w:rPr>
          <w:sz w:val="16"/>
        </w:rPr>
        <w:t>It is based on historical data and thus may not be a reliable indication for the</w:t>
      </w:r>
      <w:r>
        <w:rPr>
          <w:spacing w:val="-3"/>
          <w:sz w:val="16"/>
        </w:rPr>
        <w:t xml:space="preserve"> </w:t>
      </w:r>
      <w:r>
        <w:rPr>
          <w:sz w:val="16"/>
        </w:rPr>
        <w:t>future.</w:t>
      </w:r>
    </w:p>
    <w:p w14:paraId="64336A83" w14:textId="77777777" w:rsidR="00BE2CE4" w:rsidRDefault="00BE2CE4">
      <w:pPr>
        <w:pStyle w:val="BodyText"/>
        <w:spacing w:before="1"/>
      </w:pPr>
    </w:p>
    <w:p w14:paraId="238A1482" w14:textId="77777777" w:rsidR="00BE2CE4" w:rsidRDefault="00DC24F8">
      <w:pPr>
        <w:pStyle w:val="ListParagraph"/>
        <w:numPr>
          <w:ilvl w:val="0"/>
          <w:numId w:val="1"/>
        </w:numPr>
        <w:tabs>
          <w:tab w:val="left" w:pos="254"/>
        </w:tabs>
        <w:ind w:left="253" w:right="0" w:hanging="100"/>
        <w:rPr>
          <w:sz w:val="16"/>
        </w:rPr>
      </w:pPr>
      <w:r>
        <w:rPr>
          <w:sz w:val="16"/>
        </w:rPr>
        <w:t>The</w:t>
      </w:r>
      <w:r>
        <w:rPr>
          <w:spacing w:val="-6"/>
          <w:sz w:val="16"/>
        </w:rPr>
        <w:t xml:space="preserve"> </w:t>
      </w:r>
      <w:r>
        <w:rPr>
          <w:sz w:val="16"/>
        </w:rPr>
        <w:t>indicated</w:t>
      </w:r>
      <w:r>
        <w:rPr>
          <w:spacing w:val="-5"/>
          <w:sz w:val="16"/>
        </w:rPr>
        <w:t xml:space="preserve"> </w:t>
      </w:r>
      <w:r>
        <w:rPr>
          <w:sz w:val="16"/>
        </w:rPr>
        <w:t>risk</w:t>
      </w:r>
      <w:r>
        <w:rPr>
          <w:spacing w:val="-6"/>
          <w:sz w:val="16"/>
        </w:rPr>
        <w:t xml:space="preserve"> </w:t>
      </w:r>
      <w:r>
        <w:rPr>
          <w:sz w:val="16"/>
        </w:rPr>
        <w:t>category</w:t>
      </w:r>
      <w:r>
        <w:rPr>
          <w:spacing w:val="-5"/>
          <w:sz w:val="16"/>
        </w:rPr>
        <w:t xml:space="preserve"> </w:t>
      </w:r>
      <w:r>
        <w:rPr>
          <w:sz w:val="16"/>
        </w:rPr>
        <w:t>is</w:t>
      </w:r>
      <w:r>
        <w:rPr>
          <w:spacing w:val="-6"/>
          <w:sz w:val="16"/>
        </w:rPr>
        <w:t xml:space="preserve"> </w:t>
      </w:r>
      <w:r>
        <w:rPr>
          <w:sz w:val="16"/>
        </w:rPr>
        <w:t>not</w:t>
      </w:r>
      <w:r>
        <w:rPr>
          <w:spacing w:val="-5"/>
          <w:sz w:val="16"/>
        </w:rPr>
        <w:t xml:space="preserve"> </w:t>
      </w:r>
      <w:r>
        <w:rPr>
          <w:sz w:val="16"/>
        </w:rPr>
        <w:t>guaranteed</w:t>
      </w:r>
      <w:r>
        <w:rPr>
          <w:spacing w:val="-5"/>
          <w:sz w:val="16"/>
        </w:rPr>
        <w:t xml:space="preserve"> </w:t>
      </w:r>
      <w:r>
        <w:rPr>
          <w:sz w:val="16"/>
        </w:rPr>
        <w:t>and</w:t>
      </w:r>
      <w:r>
        <w:rPr>
          <w:spacing w:val="-6"/>
          <w:sz w:val="16"/>
        </w:rPr>
        <w:t xml:space="preserve"> </w:t>
      </w:r>
      <w:r>
        <w:rPr>
          <w:sz w:val="16"/>
        </w:rPr>
        <w:t>may</w:t>
      </w:r>
      <w:r>
        <w:rPr>
          <w:spacing w:val="-5"/>
          <w:sz w:val="16"/>
        </w:rPr>
        <w:t xml:space="preserve"> </w:t>
      </w:r>
      <w:r>
        <w:rPr>
          <w:sz w:val="16"/>
        </w:rPr>
        <w:t>shift</w:t>
      </w:r>
      <w:r>
        <w:rPr>
          <w:spacing w:val="-6"/>
          <w:sz w:val="16"/>
        </w:rPr>
        <w:t xml:space="preserve"> </w:t>
      </w:r>
      <w:r>
        <w:rPr>
          <w:sz w:val="16"/>
        </w:rPr>
        <w:t>over</w:t>
      </w:r>
      <w:r>
        <w:rPr>
          <w:spacing w:val="-5"/>
          <w:sz w:val="16"/>
        </w:rPr>
        <w:t xml:space="preserve"> </w:t>
      </w:r>
      <w:r>
        <w:rPr>
          <w:sz w:val="16"/>
        </w:rPr>
        <w:t>time.</w:t>
      </w:r>
    </w:p>
    <w:p w14:paraId="03418ECE" w14:textId="77777777" w:rsidR="00BE2CE4" w:rsidRDefault="00BE2CE4">
      <w:pPr>
        <w:pStyle w:val="BodyText"/>
        <w:rPr>
          <w:sz w:val="18"/>
        </w:rPr>
      </w:pPr>
    </w:p>
    <w:p w14:paraId="05102492" w14:textId="77777777" w:rsidR="00BE2CE4" w:rsidRDefault="00DC24F8">
      <w:pPr>
        <w:pStyle w:val="ListParagraph"/>
        <w:numPr>
          <w:ilvl w:val="0"/>
          <w:numId w:val="1"/>
        </w:numPr>
        <w:tabs>
          <w:tab w:val="left" w:pos="352"/>
        </w:tabs>
        <w:spacing w:before="130" w:line="259" w:lineRule="auto"/>
        <w:ind w:firstLine="0"/>
        <w:rPr>
          <w:sz w:val="16"/>
        </w:rPr>
      </w:pPr>
      <w:r>
        <w:rPr>
          <w:sz w:val="16"/>
        </w:rPr>
        <w:t>The indicator is designed to help investors understand the uncertainties both for loss and for growth that may affect their investment. In this context, the lowest category does not mean “risk free”.</w:t>
      </w:r>
    </w:p>
    <w:p w14:paraId="57579D34" w14:textId="77777777" w:rsidR="00BE2CE4" w:rsidRDefault="00BE2CE4">
      <w:pPr>
        <w:pStyle w:val="BodyText"/>
        <w:spacing w:before="9"/>
        <w:rPr>
          <w:sz w:val="14"/>
        </w:rPr>
      </w:pPr>
    </w:p>
    <w:p w14:paraId="5736AC25" w14:textId="77777777" w:rsidR="00BE2CE4" w:rsidRDefault="00DC24F8">
      <w:pPr>
        <w:pStyle w:val="ListParagraph"/>
        <w:numPr>
          <w:ilvl w:val="0"/>
          <w:numId w:val="1"/>
        </w:numPr>
        <w:tabs>
          <w:tab w:val="left" w:pos="265"/>
        </w:tabs>
        <w:spacing w:line="259" w:lineRule="auto"/>
        <w:ind w:firstLine="0"/>
        <w:rPr>
          <w:sz w:val="16"/>
        </w:rPr>
      </w:pPr>
      <w:r>
        <w:rPr>
          <w:sz w:val="16"/>
        </w:rPr>
        <w:t>The Fund is classified in the category indicated above due to its past behaviour and the behaviour of its target asset</w:t>
      </w:r>
      <w:r>
        <w:rPr>
          <w:spacing w:val="-19"/>
          <w:sz w:val="16"/>
        </w:rPr>
        <w:t xml:space="preserve"> </w:t>
      </w:r>
      <w:r>
        <w:rPr>
          <w:sz w:val="16"/>
        </w:rPr>
        <w:t>mix.</w:t>
      </w:r>
    </w:p>
    <w:p w14:paraId="6776F74F" w14:textId="77777777" w:rsidR="00BE2CE4" w:rsidRDefault="00BE2CE4">
      <w:pPr>
        <w:pStyle w:val="BodyText"/>
        <w:spacing w:before="2"/>
      </w:pPr>
    </w:p>
    <w:p w14:paraId="59FA72CE" w14:textId="77777777" w:rsidR="00BE2CE4" w:rsidRDefault="00DC24F8">
      <w:pPr>
        <w:pStyle w:val="ListParagraph"/>
        <w:numPr>
          <w:ilvl w:val="0"/>
          <w:numId w:val="1"/>
        </w:numPr>
        <w:tabs>
          <w:tab w:val="left" w:pos="306"/>
        </w:tabs>
        <w:spacing w:line="259" w:lineRule="auto"/>
        <w:ind w:right="70" w:firstLine="0"/>
        <w:rPr>
          <w:sz w:val="16"/>
        </w:rPr>
      </w:pPr>
      <w:r>
        <w:rPr>
          <w:sz w:val="16"/>
        </w:rPr>
        <w:t>The Fund does not provide its investors with any guarantee on performance, nor on the monies invested in</w:t>
      </w:r>
      <w:r>
        <w:rPr>
          <w:spacing w:val="-15"/>
          <w:sz w:val="16"/>
        </w:rPr>
        <w:t xml:space="preserve"> </w:t>
      </w:r>
      <w:r>
        <w:rPr>
          <w:sz w:val="16"/>
        </w:rPr>
        <w:t>it.</w:t>
      </w:r>
    </w:p>
    <w:p w14:paraId="78133242" w14:textId="77777777" w:rsidR="00BE2CE4" w:rsidRDefault="00DC24F8">
      <w:pPr>
        <w:pStyle w:val="Heading1"/>
        <w:spacing w:before="95" w:line="271" w:lineRule="auto"/>
        <w:jc w:val="both"/>
      </w:pPr>
      <w:r>
        <w:rPr>
          <w:b w:val="0"/>
        </w:rPr>
        <w:br w:type="column"/>
      </w:r>
      <w:r>
        <w:t>In addition to the risk captured by the indicator, the overall Fund value may be considerably affected by:</w:t>
      </w:r>
    </w:p>
    <w:p w14:paraId="137BFD9F" w14:textId="77777777" w:rsidR="00BE2CE4" w:rsidRDefault="00BE2CE4">
      <w:pPr>
        <w:pStyle w:val="BodyText"/>
        <w:rPr>
          <w:b/>
          <w:sz w:val="18"/>
        </w:rPr>
      </w:pPr>
    </w:p>
    <w:p w14:paraId="16BD891E" w14:textId="77777777" w:rsidR="00BE2CE4" w:rsidRDefault="00DC24F8">
      <w:pPr>
        <w:pStyle w:val="BodyText"/>
        <w:spacing w:before="131" w:line="259" w:lineRule="auto"/>
        <w:ind w:left="122" w:right="147"/>
        <w:jc w:val="both"/>
      </w:pPr>
      <w:r>
        <w:t>Currency Risk - the Fund may be exposed to currency risk in relation to the valuation of assets held in currencies other than USD.</w:t>
      </w:r>
    </w:p>
    <w:p w14:paraId="0041FAE6" w14:textId="77777777" w:rsidR="00BE2CE4" w:rsidRDefault="00BE2CE4">
      <w:pPr>
        <w:pStyle w:val="BodyText"/>
        <w:rPr>
          <w:sz w:val="18"/>
        </w:rPr>
      </w:pPr>
    </w:p>
    <w:p w14:paraId="7E430977" w14:textId="77777777" w:rsidR="00BE2CE4" w:rsidRDefault="00BE2CE4">
      <w:pPr>
        <w:pStyle w:val="BodyText"/>
        <w:rPr>
          <w:sz w:val="18"/>
        </w:rPr>
      </w:pPr>
    </w:p>
    <w:p w14:paraId="6CCF181C" w14:textId="77777777" w:rsidR="00BE2CE4" w:rsidRDefault="00BE2CE4">
      <w:pPr>
        <w:pStyle w:val="BodyText"/>
        <w:spacing w:before="9"/>
        <w:rPr>
          <w:sz w:val="17"/>
        </w:rPr>
      </w:pPr>
    </w:p>
    <w:p w14:paraId="5FDCD864" w14:textId="77777777" w:rsidR="00BE2CE4" w:rsidRDefault="00DC24F8">
      <w:pPr>
        <w:pStyle w:val="BodyText"/>
        <w:spacing w:line="259" w:lineRule="auto"/>
        <w:ind w:left="122" w:right="147"/>
        <w:jc w:val="both"/>
      </w:pPr>
      <w:r>
        <w:t>Additionally, the Fund’s fixed income investments may be exposed to the following risks:</w:t>
      </w:r>
    </w:p>
    <w:p w14:paraId="366655A9" w14:textId="77777777" w:rsidR="00BE2CE4" w:rsidRDefault="00BE2CE4">
      <w:pPr>
        <w:pStyle w:val="BodyText"/>
        <w:spacing w:before="6"/>
        <w:rPr>
          <w:sz w:val="17"/>
        </w:rPr>
      </w:pPr>
    </w:p>
    <w:p w14:paraId="0EF10C5D" w14:textId="77777777" w:rsidR="00BE2CE4" w:rsidRDefault="00DC24F8">
      <w:pPr>
        <w:pStyle w:val="BodyText"/>
        <w:spacing w:before="1" w:line="259" w:lineRule="auto"/>
        <w:ind w:left="122" w:right="150"/>
        <w:jc w:val="both"/>
      </w:pPr>
      <w:r>
        <w:t>Credit Risk - the risk that a borrower will not honour its obligations and this will result in losses for the investor.</w:t>
      </w:r>
    </w:p>
    <w:p w14:paraId="507408B4" w14:textId="77777777" w:rsidR="00BE2CE4" w:rsidRDefault="00BE2CE4">
      <w:pPr>
        <w:pStyle w:val="BodyText"/>
        <w:spacing w:before="2"/>
      </w:pPr>
    </w:p>
    <w:p w14:paraId="0E7EAEB8" w14:textId="77777777" w:rsidR="00BE2CE4" w:rsidRDefault="00DC24F8">
      <w:pPr>
        <w:pStyle w:val="BodyText"/>
        <w:spacing w:line="259" w:lineRule="auto"/>
        <w:ind w:left="122" w:right="148"/>
        <w:jc w:val="both"/>
      </w:pPr>
      <w:r>
        <w:t>Liquidity Risk - the risk stemming from the lack of marketability of an investment that cannot be bought or sold quickly enough to prevent or minimise a loss.</w:t>
      </w:r>
    </w:p>
    <w:p w14:paraId="2D018DB4" w14:textId="77777777" w:rsidR="00BE2CE4" w:rsidRDefault="00BE2CE4">
      <w:pPr>
        <w:pStyle w:val="BodyText"/>
        <w:spacing w:before="5"/>
        <w:rPr>
          <w:sz w:val="17"/>
        </w:rPr>
      </w:pPr>
    </w:p>
    <w:p w14:paraId="2FA60975" w14:textId="77777777" w:rsidR="00BE2CE4" w:rsidRDefault="00DC24F8">
      <w:pPr>
        <w:pStyle w:val="BodyText"/>
        <w:spacing w:line="259" w:lineRule="auto"/>
        <w:ind w:left="122" w:right="152"/>
        <w:jc w:val="both"/>
      </w:pPr>
      <w:r>
        <w:t>Interest</w:t>
      </w:r>
      <w:r>
        <w:rPr>
          <w:spacing w:val="-6"/>
        </w:rPr>
        <w:t xml:space="preserve"> </w:t>
      </w:r>
      <w:r>
        <w:t>Rate</w:t>
      </w:r>
      <w:r>
        <w:rPr>
          <w:spacing w:val="-3"/>
        </w:rPr>
        <w:t xml:space="preserve"> </w:t>
      </w:r>
      <w:r>
        <w:t>Risk</w:t>
      </w:r>
      <w:r>
        <w:rPr>
          <w:spacing w:val="-4"/>
        </w:rPr>
        <w:t xml:space="preserve"> </w:t>
      </w:r>
      <w:r>
        <w:t>–</w:t>
      </w:r>
      <w:r>
        <w:rPr>
          <w:spacing w:val="-4"/>
        </w:rPr>
        <w:t xml:space="preserve"> </w:t>
      </w:r>
      <w:r>
        <w:t>the</w:t>
      </w:r>
      <w:r>
        <w:rPr>
          <w:spacing w:val="-5"/>
        </w:rPr>
        <w:t xml:space="preserve"> </w:t>
      </w:r>
      <w:r>
        <w:t>risk</w:t>
      </w:r>
      <w:r>
        <w:rPr>
          <w:spacing w:val="-3"/>
        </w:rPr>
        <w:t xml:space="preserve"> </w:t>
      </w:r>
      <w:r>
        <w:t>that</w:t>
      </w:r>
      <w:r>
        <w:rPr>
          <w:spacing w:val="-6"/>
        </w:rPr>
        <w:t xml:space="preserve"> </w:t>
      </w:r>
      <w:r>
        <w:t>impacts</w:t>
      </w:r>
      <w:r>
        <w:rPr>
          <w:spacing w:val="-3"/>
        </w:rPr>
        <w:t xml:space="preserve"> </w:t>
      </w:r>
      <w:r>
        <w:t>the</w:t>
      </w:r>
      <w:r>
        <w:rPr>
          <w:spacing w:val="-5"/>
        </w:rPr>
        <w:t xml:space="preserve"> </w:t>
      </w:r>
      <w:r>
        <w:t>price</w:t>
      </w:r>
      <w:r>
        <w:rPr>
          <w:spacing w:val="-2"/>
        </w:rPr>
        <w:t xml:space="preserve"> </w:t>
      </w:r>
      <w:r>
        <w:t>of</w:t>
      </w:r>
      <w:r>
        <w:rPr>
          <w:spacing w:val="-5"/>
        </w:rPr>
        <w:t xml:space="preserve"> </w:t>
      </w:r>
      <w:r>
        <w:t>an</w:t>
      </w:r>
      <w:r>
        <w:rPr>
          <w:spacing w:val="-4"/>
        </w:rPr>
        <w:t xml:space="preserve"> </w:t>
      </w:r>
      <w:r>
        <w:t>interest</w:t>
      </w:r>
      <w:r>
        <w:rPr>
          <w:spacing w:val="-5"/>
        </w:rPr>
        <w:t xml:space="preserve"> </w:t>
      </w:r>
      <w:r>
        <w:t>bearing security should interest rates / yields</w:t>
      </w:r>
      <w:r>
        <w:rPr>
          <w:spacing w:val="-11"/>
        </w:rPr>
        <w:t xml:space="preserve"> </w:t>
      </w:r>
      <w:r>
        <w:t>change.</w:t>
      </w:r>
    </w:p>
    <w:p w14:paraId="0FC5A9E5" w14:textId="77777777" w:rsidR="00BE2CE4" w:rsidRDefault="00BE2CE4">
      <w:pPr>
        <w:pStyle w:val="BodyText"/>
        <w:spacing w:before="4"/>
        <w:rPr>
          <w:sz w:val="25"/>
        </w:rPr>
      </w:pPr>
    </w:p>
    <w:p w14:paraId="2D13683F" w14:textId="77777777" w:rsidR="00BE2CE4" w:rsidRDefault="00DC24F8">
      <w:pPr>
        <w:pStyle w:val="BodyText"/>
        <w:spacing w:line="259" w:lineRule="auto"/>
        <w:ind w:left="122" w:right="149"/>
        <w:jc w:val="both"/>
      </w:pPr>
      <w:r>
        <w:t>Please refer to the “Risk Factors” section of the Prospectus for further information - see under “Practical Information” for how to obtain a copy.</w:t>
      </w:r>
    </w:p>
    <w:p w14:paraId="5C92F940" w14:textId="77777777" w:rsidR="00BE2CE4" w:rsidRDefault="00BE2CE4">
      <w:pPr>
        <w:spacing w:line="259" w:lineRule="auto"/>
        <w:jc w:val="both"/>
        <w:sectPr w:rsidR="00BE2CE4">
          <w:type w:val="continuous"/>
          <w:pgSz w:w="11910" w:h="16840"/>
          <w:pgMar w:top="420" w:right="540" w:bottom="280" w:left="340" w:header="720" w:footer="720" w:gutter="0"/>
          <w:cols w:num="2" w:space="720" w:equalWidth="0">
            <w:col w:w="5286" w:space="405"/>
            <w:col w:w="5339"/>
          </w:cols>
        </w:sectPr>
      </w:pPr>
    </w:p>
    <w:p w14:paraId="0D70E737" w14:textId="78AED8B1" w:rsidR="00BE2CE4" w:rsidRDefault="00754641">
      <w:pPr>
        <w:pStyle w:val="BodyText"/>
        <w:ind w:left="113"/>
        <w:rPr>
          <w:sz w:val="20"/>
        </w:rPr>
      </w:pPr>
      <w:r>
        <w:rPr>
          <w:sz w:val="20"/>
        </w:rPr>
      </w:r>
      <w:r>
        <w:rPr>
          <w:sz w:val="20"/>
        </w:rPr>
        <w:pict w14:anchorId="0788D90A">
          <v:shape id="_x0000_s1071" type="#_x0000_t202" style="width:539.2pt;height:12.75pt;mso-left-percent:-10001;mso-top-percent:-10001;mso-position-horizontal:absolute;mso-position-horizontal-relative:char;mso-position-vertical:absolute;mso-position-vertical-relative:line;mso-left-percent:-10001;mso-top-percent:-10001" fillcolor="#bfbfbf" strokeweight=".84pt">
            <v:textbox inset="0,0,0,0">
              <w:txbxContent>
                <w:p w14:paraId="65636A0E" w14:textId="77777777" w:rsidR="00BE2CE4" w:rsidRDefault="00DC24F8">
                  <w:pPr>
                    <w:spacing w:before="23"/>
                    <w:ind w:left="26"/>
                    <w:rPr>
                      <w:b/>
                      <w:sz w:val="17"/>
                    </w:rPr>
                  </w:pPr>
                  <w:r>
                    <w:rPr>
                      <w:b/>
                      <w:w w:val="105"/>
                      <w:sz w:val="17"/>
                    </w:rPr>
                    <w:t>Charges for the Fund</w:t>
                  </w:r>
                </w:p>
              </w:txbxContent>
            </v:textbox>
            <w10:anchorlock/>
          </v:shape>
        </w:pict>
      </w:r>
    </w:p>
    <w:p w14:paraId="3F62F016" w14:textId="77777777" w:rsidR="00BE2CE4" w:rsidRDefault="00DC24F8">
      <w:pPr>
        <w:pStyle w:val="BodyText"/>
        <w:spacing w:before="103" w:line="259" w:lineRule="auto"/>
        <w:ind w:left="154" w:right="180"/>
      </w:pPr>
      <w:r>
        <w:t>These</w:t>
      </w:r>
      <w:r>
        <w:rPr>
          <w:spacing w:val="-7"/>
        </w:rPr>
        <w:t xml:space="preserve"> </w:t>
      </w:r>
      <w:r>
        <w:t>charges</w:t>
      </w:r>
      <w:r>
        <w:rPr>
          <w:spacing w:val="-6"/>
        </w:rPr>
        <w:t xml:space="preserve"> </w:t>
      </w:r>
      <w:r>
        <w:t>are</w:t>
      </w:r>
      <w:r>
        <w:rPr>
          <w:spacing w:val="-6"/>
        </w:rPr>
        <w:t xml:space="preserve"> </w:t>
      </w:r>
      <w:r>
        <w:t>used</w:t>
      </w:r>
      <w:r>
        <w:rPr>
          <w:spacing w:val="-7"/>
        </w:rPr>
        <w:t xml:space="preserve"> </w:t>
      </w:r>
      <w:r>
        <w:t>to</w:t>
      </w:r>
      <w:r>
        <w:rPr>
          <w:spacing w:val="-6"/>
        </w:rPr>
        <w:t xml:space="preserve"> </w:t>
      </w:r>
      <w:r>
        <w:t>pay</w:t>
      </w:r>
      <w:r>
        <w:rPr>
          <w:spacing w:val="-6"/>
        </w:rPr>
        <w:t xml:space="preserve"> </w:t>
      </w:r>
      <w:r>
        <w:t>the</w:t>
      </w:r>
      <w:r>
        <w:rPr>
          <w:spacing w:val="-6"/>
        </w:rPr>
        <w:t xml:space="preserve"> </w:t>
      </w:r>
      <w:r>
        <w:t>costs</w:t>
      </w:r>
      <w:r>
        <w:rPr>
          <w:spacing w:val="-7"/>
        </w:rPr>
        <w:t xml:space="preserve"> </w:t>
      </w:r>
      <w:r>
        <w:t>of</w:t>
      </w:r>
      <w:r>
        <w:rPr>
          <w:spacing w:val="-6"/>
        </w:rPr>
        <w:t xml:space="preserve"> </w:t>
      </w:r>
      <w:r>
        <w:t>running</w:t>
      </w:r>
      <w:r>
        <w:rPr>
          <w:spacing w:val="-6"/>
        </w:rPr>
        <w:t xml:space="preserve"> </w:t>
      </w:r>
      <w:r>
        <w:t>the</w:t>
      </w:r>
      <w:r>
        <w:rPr>
          <w:spacing w:val="-6"/>
        </w:rPr>
        <w:t xml:space="preserve"> </w:t>
      </w:r>
      <w:r>
        <w:t>Fund,</w:t>
      </w:r>
      <w:r>
        <w:rPr>
          <w:spacing w:val="-7"/>
        </w:rPr>
        <w:t xml:space="preserve"> </w:t>
      </w:r>
      <w:r>
        <w:t>including</w:t>
      </w:r>
      <w:r>
        <w:rPr>
          <w:spacing w:val="-6"/>
        </w:rPr>
        <w:t xml:space="preserve"> </w:t>
      </w:r>
      <w:r>
        <w:t>the</w:t>
      </w:r>
      <w:r>
        <w:rPr>
          <w:spacing w:val="-6"/>
        </w:rPr>
        <w:t xml:space="preserve"> </w:t>
      </w:r>
      <w:r>
        <w:t>costs</w:t>
      </w:r>
      <w:r>
        <w:rPr>
          <w:spacing w:val="-6"/>
        </w:rPr>
        <w:t xml:space="preserve"> </w:t>
      </w:r>
      <w:r>
        <w:t>of</w:t>
      </w:r>
      <w:r>
        <w:rPr>
          <w:spacing w:val="-7"/>
        </w:rPr>
        <w:t xml:space="preserve"> </w:t>
      </w:r>
      <w:r>
        <w:t>marketing</w:t>
      </w:r>
      <w:r>
        <w:rPr>
          <w:spacing w:val="-6"/>
        </w:rPr>
        <w:t xml:space="preserve"> </w:t>
      </w:r>
      <w:r>
        <w:t>and</w:t>
      </w:r>
      <w:r>
        <w:rPr>
          <w:spacing w:val="-6"/>
        </w:rPr>
        <w:t xml:space="preserve"> </w:t>
      </w:r>
      <w:r>
        <w:t>distribution.</w:t>
      </w:r>
      <w:r>
        <w:rPr>
          <w:spacing w:val="-6"/>
        </w:rPr>
        <w:t xml:space="preserve"> </w:t>
      </w:r>
      <w:r>
        <w:t>These</w:t>
      </w:r>
      <w:r>
        <w:rPr>
          <w:spacing w:val="-7"/>
        </w:rPr>
        <w:t xml:space="preserve"> </w:t>
      </w:r>
      <w:r>
        <w:t>charges</w:t>
      </w:r>
      <w:r>
        <w:rPr>
          <w:spacing w:val="-6"/>
        </w:rPr>
        <w:t xml:space="preserve"> </w:t>
      </w:r>
      <w:r>
        <w:t>reduce</w:t>
      </w:r>
      <w:r>
        <w:rPr>
          <w:spacing w:val="-6"/>
        </w:rPr>
        <w:t xml:space="preserve"> </w:t>
      </w:r>
      <w:r>
        <w:t>the</w:t>
      </w:r>
      <w:r>
        <w:rPr>
          <w:spacing w:val="-6"/>
        </w:rPr>
        <w:t xml:space="preserve"> </w:t>
      </w:r>
      <w:r>
        <w:t>potential growth of your</w:t>
      </w:r>
      <w:r>
        <w:rPr>
          <w:spacing w:val="-4"/>
        </w:rPr>
        <w:t xml:space="preserve"> </w:t>
      </w:r>
      <w:r>
        <w:t>investment.</w:t>
      </w:r>
    </w:p>
    <w:p w14:paraId="51A1644B" w14:textId="03231F5C" w:rsidR="00BE2CE4" w:rsidRDefault="00754641">
      <w:pPr>
        <w:pStyle w:val="BodyText"/>
        <w:spacing w:before="140" w:line="259" w:lineRule="auto"/>
        <w:ind w:left="5813" w:right="149"/>
        <w:jc w:val="both"/>
      </w:pPr>
      <w:r>
        <w:pict w14:anchorId="27FB1328">
          <v:shape id="_x0000_s1062" type="#_x0000_t202" style="position:absolute;left:0;text-align:left;margin-left:22.7pt;margin-top:6.2pt;width:257.5pt;height:176.9pt;z-index:251677696;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6"/>
                    <w:gridCol w:w="2928"/>
                  </w:tblGrid>
                  <w:tr w:rsidR="00BE2CE4" w14:paraId="5918A968" w14:textId="77777777">
                    <w:trPr>
                      <w:trHeight w:val="1657"/>
                    </w:trPr>
                    <w:tc>
                      <w:tcPr>
                        <w:tcW w:w="5124" w:type="dxa"/>
                        <w:gridSpan w:val="2"/>
                      </w:tcPr>
                      <w:p w14:paraId="412D537D" w14:textId="77777777" w:rsidR="00BE2CE4" w:rsidRDefault="00DC24F8">
                        <w:pPr>
                          <w:pStyle w:val="TableParagraph"/>
                          <w:spacing w:before="30"/>
                          <w:rPr>
                            <w:b/>
                            <w:sz w:val="16"/>
                          </w:rPr>
                        </w:pPr>
                        <w:r>
                          <w:rPr>
                            <w:b/>
                            <w:sz w:val="16"/>
                          </w:rPr>
                          <w:t>One-off charges taken before or after you invest</w:t>
                        </w:r>
                      </w:p>
                      <w:p w14:paraId="02E8C399" w14:textId="77777777" w:rsidR="00BE2CE4" w:rsidRDefault="00DC24F8">
                        <w:pPr>
                          <w:pStyle w:val="TableParagraph"/>
                          <w:tabs>
                            <w:tab w:val="left" w:pos="2442"/>
                          </w:tabs>
                          <w:spacing w:before="71"/>
                          <w:rPr>
                            <w:sz w:val="16"/>
                          </w:rPr>
                        </w:pPr>
                        <w:r>
                          <w:rPr>
                            <w:sz w:val="16"/>
                          </w:rPr>
                          <w:t>Entry</w:t>
                        </w:r>
                        <w:r>
                          <w:rPr>
                            <w:spacing w:val="-4"/>
                            <w:sz w:val="16"/>
                          </w:rPr>
                          <w:t xml:space="preserve"> </w:t>
                        </w:r>
                        <w:r>
                          <w:rPr>
                            <w:sz w:val="16"/>
                          </w:rPr>
                          <w:t>charge</w:t>
                        </w:r>
                        <w:r>
                          <w:rPr>
                            <w:sz w:val="16"/>
                          </w:rPr>
                          <w:tab/>
                          <w:t>5.00%</w:t>
                        </w:r>
                      </w:p>
                      <w:p w14:paraId="36A46840" w14:textId="77777777" w:rsidR="00BE2CE4" w:rsidRDefault="00DC24F8">
                        <w:pPr>
                          <w:pStyle w:val="TableParagraph"/>
                          <w:tabs>
                            <w:tab w:val="left" w:pos="2442"/>
                          </w:tabs>
                          <w:spacing w:before="70"/>
                          <w:rPr>
                            <w:sz w:val="16"/>
                          </w:rPr>
                        </w:pPr>
                        <w:r>
                          <w:rPr>
                            <w:sz w:val="16"/>
                          </w:rPr>
                          <w:t>Exit</w:t>
                        </w:r>
                        <w:r>
                          <w:rPr>
                            <w:spacing w:val="-4"/>
                            <w:sz w:val="16"/>
                          </w:rPr>
                          <w:t xml:space="preserve"> </w:t>
                        </w:r>
                        <w:r>
                          <w:rPr>
                            <w:sz w:val="16"/>
                          </w:rPr>
                          <w:t>charge</w:t>
                        </w:r>
                        <w:r>
                          <w:rPr>
                            <w:sz w:val="16"/>
                          </w:rPr>
                          <w:tab/>
                          <w:t>3.00%</w:t>
                        </w:r>
                      </w:p>
                      <w:p w14:paraId="5C402469" w14:textId="77777777" w:rsidR="00BE2CE4" w:rsidRDefault="00BE2CE4">
                        <w:pPr>
                          <w:pStyle w:val="TableParagraph"/>
                          <w:spacing w:before="10"/>
                          <w:ind w:left="0"/>
                          <w:rPr>
                            <w:sz w:val="24"/>
                          </w:rPr>
                        </w:pPr>
                      </w:p>
                      <w:p w14:paraId="23C1B3BA" w14:textId="77777777" w:rsidR="00BE2CE4" w:rsidRDefault="00DC24F8">
                        <w:pPr>
                          <w:pStyle w:val="TableParagraph"/>
                          <w:spacing w:before="1" w:line="259" w:lineRule="auto"/>
                          <w:ind w:right="74"/>
                          <w:rPr>
                            <w:sz w:val="16"/>
                          </w:rPr>
                        </w:pPr>
                        <w:r>
                          <w:rPr>
                            <w:sz w:val="16"/>
                          </w:rPr>
                          <w:t>This is the maximum that might be taken out of your money before it is invested or before the proceeds of your investment are paid out.</w:t>
                        </w:r>
                      </w:p>
                    </w:tc>
                  </w:tr>
                  <w:tr w:rsidR="00BE2CE4" w14:paraId="7801D766" w14:textId="77777777">
                    <w:trPr>
                      <w:trHeight w:val="601"/>
                    </w:trPr>
                    <w:tc>
                      <w:tcPr>
                        <w:tcW w:w="5124" w:type="dxa"/>
                        <w:gridSpan w:val="2"/>
                      </w:tcPr>
                      <w:p w14:paraId="2227D586" w14:textId="77777777" w:rsidR="00BE2CE4" w:rsidRDefault="00DC24F8">
                        <w:pPr>
                          <w:pStyle w:val="TableParagraph"/>
                          <w:spacing w:before="100"/>
                          <w:rPr>
                            <w:b/>
                            <w:sz w:val="16"/>
                          </w:rPr>
                        </w:pPr>
                        <w:r>
                          <w:rPr>
                            <w:b/>
                            <w:sz w:val="16"/>
                          </w:rPr>
                          <w:t>Charges taken from the Fund over a year</w:t>
                        </w:r>
                      </w:p>
                      <w:p w14:paraId="6D3727E1" w14:textId="4C39120F" w:rsidR="00BE2CE4" w:rsidRDefault="00DC24F8">
                        <w:pPr>
                          <w:pStyle w:val="TableParagraph"/>
                          <w:tabs>
                            <w:tab w:val="left" w:pos="2443"/>
                          </w:tabs>
                          <w:spacing w:before="114" w:line="184" w:lineRule="exact"/>
                          <w:rPr>
                            <w:sz w:val="16"/>
                          </w:rPr>
                        </w:pPr>
                        <w:r>
                          <w:rPr>
                            <w:sz w:val="16"/>
                          </w:rPr>
                          <w:t>Ongoing</w:t>
                        </w:r>
                        <w:r>
                          <w:rPr>
                            <w:spacing w:val="-5"/>
                            <w:sz w:val="16"/>
                          </w:rPr>
                          <w:t xml:space="preserve"> </w:t>
                        </w:r>
                        <w:r>
                          <w:rPr>
                            <w:sz w:val="16"/>
                          </w:rPr>
                          <w:t>charges</w:t>
                        </w:r>
                        <w:r>
                          <w:rPr>
                            <w:sz w:val="16"/>
                          </w:rPr>
                          <w:tab/>
                        </w:r>
                        <w:r w:rsidR="00953092">
                          <w:rPr>
                            <w:sz w:val="16"/>
                          </w:rPr>
                          <w:t>.99</w:t>
                        </w:r>
                        <w:r>
                          <w:rPr>
                            <w:sz w:val="16"/>
                          </w:rPr>
                          <w:t>%</w:t>
                        </w:r>
                      </w:p>
                    </w:tc>
                  </w:tr>
                  <w:tr w:rsidR="00BE2CE4" w14:paraId="2451D5E2" w14:textId="77777777">
                    <w:trPr>
                      <w:trHeight w:val="400"/>
                    </w:trPr>
                    <w:tc>
                      <w:tcPr>
                        <w:tcW w:w="5124" w:type="dxa"/>
                        <w:gridSpan w:val="2"/>
                      </w:tcPr>
                      <w:p w14:paraId="79B15D36" w14:textId="77777777" w:rsidR="00BE2CE4" w:rsidRDefault="00DC24F8">
                        <w:pPr>
                          <w:pStyle w:val="TableParagraph"/>
                          <w:spacing w:before="107"/>
                          <w:rPr>
                            <w:b/>
                            <w:sz w:val="16"/>
                          </w:rPr>
                        </w:pPr>
                        <w:r>
                          <w:rPr>
                            <w:b/>
                            <w:sz w:val="16"/>
                          </w:rPr>
                          <w:t>Charges taken from the Fund under certain specific conditions</w:t>
                        </w:r>
                      </w:p>
                    </w:tc>
                  </w:tr>
                  <w:tr w:rsidR="00BE2CE4" w14:paraId="2772D479" w14:textId="77777777">
                    <w:trPr>
                      <w:trHeight w:val="781"/>
                    </w:trPr>
                    <w:tc>
                      <w:tcPr>
                        <w:tcW w:w="2196" w:type="dxa"/>
                      </w:tcPr>
                      <w:p w14:paraId="7286FCEA" w14:textId="77777777" w:rsidR="00BE2CE4" w:rsidRDefault="00DC24F8">
                        <w:pPr>
                          <w:pStyle w:val="TableParagraph"/>
                          <w:spacing w:before="0" w:line="181" w:lineRule="exact"/>
                          <w:rPr>
                            <w:sz w:val="16"/>
                          </w:rPr>
                        </w:pPr>
                        <w:r>
                          <w:rPr>
                            <w:sz w:val="16"/>
                          </w:rPr>
                          <w:t>Performance Fee</w:t>
                        </w:r>
                      </w:p>
                    </w:tc>
                    <w:tc>
                      <w:tcPr>
                        <w:tcW w:w="2928" w:type="dxa"/>
                      </w:tcPr>
                      <w:p w14:paraId="3FA19797" w14:textId="77777777" w:rsidR="00BE2CE4" w:rsidRDefault="00DC24F8">
                        <w:pPr>
                          <w:pStyle w:val="TableParagraph"/>
                          <w:spacing w:before="0" w:line="259" w:lineRule="auto"/>
                          <w:ind w:right="171"/>
                          <w:jc w:val="both"/>
                          <w:rPr>
                            <w:sz w:val="16"/>
                          </w:rPr>
                        </w:pPr>
                        <w:r>
                          <w:rPr>
                            <w:sz w:val="16"/>
                          </w:rPr>
                          <w:t>10% of any returns over the returns of the</w:t>
                        </w:r>
                        <w:r>
                          <w:rPr>
                            <w:spacing w:val="-5"/>
                            <w:sz w:val="16"/>
                          </w:rPr>
                          <w:t xml:space="preserve"> </w:t>
                        </w:r>
                        <w:r>
                          <w:rPr>
                            <w:sz w:val="16"/>
                          </w:rPr>
                          <w:t>MSCI</w:t>
                        </w:r>
                        <w:r>
                          <w:rPr>
                            <w:spacing w:val="-5"/>
                            <w:sz w:val="16"/>
                          </w:rPr>
                          <w:t xml:space="preserve"> </w:t>
                        </w:r>
                        <w:r>
                          <w:rPr>
                            <w:sz w:val="16"/>
                          </w:rPr>
                          <w:t>World</w:t>
                        </w:r>
                        <w:r>
                          <w:rPr>
                            <w:spacing w:val="-5"/>
                            <w:sz w:val="16"/>
                          </w:rPr>
                          <w:t xml:space="preserve"> </w:t>
                        </w:r>
                        <w:r>
                          <w:rPr>
                            <w:sz w:val="16"/>
                          </w:rPr>
                          <w:t>Index</w:t>
                        </w:r>
                        <w:r>
                          <w:rPr>
                            <w:spacing w:val="-5"/>
                            <w:sz w:val="16"/>
                          </w:rPr>
                          <w:t xml:space="preserve"> </w:t>
                        </w:r>
                        <w:r>
                          <w:rPr>
                            <w:sz w:val="16"/>
                          </w:rPr>
                          <w:t>.</w:t>
                        </w:r>
                        <w:r>
                          <w:rPr>
                            <w:spacing w:val="-5"/>
                            <w:sz w:val="16"/>
                          </w:rPr>
                          <w:t xml:space="preserve"> </w:t>
                        </w:r>
                        <w:r>
                          <w:rPr>
                            <w:sz w:val="16"/>
                          </w:rPr>
                          <w:t>There</w:t>
                        </w:r>
                        <w:r>
                          <w:rPr>
                            <w:spacing w:val="-5"/>
                            <w:sz w:val="16"/>
                          </w:rPr>
                          <w:t xml:space="preserve"> </w:t>
                        </w:r>
                        <w:r>
                          <w:rPr>
                            <w:sz w:val="16"/>
                          </w:rPr>
                          <w:t>were</w:t>
                        </w:r>
                        <w:r>
                          <w:rPr>
                            <w:spacing w:val="-5"/>
                            <w:sz w:val="16"/>
                          </w:rPr>
                          <w:t xml:space="preserve"> </w:t>
                        </w:r>
                        <w:r>
                          <w:rPr>
                            <w:sz w:val="16"/>
                          </w:rPr>
                          <w:t>no performance</w:t>
                        </w:r>
                        <w:r>
                          <w:rPr>
                            <w:spacing w:val="-8"/>
                            <w:sz w:val="16"/>
                          </w:rPr>
                          <w:t xml:space="preserve"> </w:t>
                        </w:r>
                        <w:r>
                          <w:rPr>
                            <w:sz w:val="16"/>
                          </w:rPr>
                          <w:t>fees</w:t>
                        </w:r>
                        <w:r>
                          <w:rPr>
                            <w:spacing w:val="-7"/>
                            <w:sz w:val="16"/>
                          </w:rPr>
                          <w:t xml:space="preserve"> </w:t>
                        </w:r>
                        <w:r>
                          <w:rPr>
                            <w:sz w:val="16"/>
                          </w:rPr>
                          <w:t>paid</w:t>
                        </w:r>
                        <w:r>
                          <w:rPr>
                            <w:spacing w:val="-7"/>
                            <w:sz w:val="16"/>
                          </w:rPr>
                          <w:t xml:space="preserve"> </w:t>
                        </w:r>
                        <w:r>
                          <w:rPr>
                            <w:sz w:val="16"/>
                          </w:rPr>
                          <w:t>during</w:t>
                        </w:r>
                        <w:r>
                          <w:rPr>
                            <w:spacing w:val="-7"/>
                            <w:sz w:val="16"/>
                          </w:rPr>
                          <w:t xml:space="preserve"> </w:t>
                        </w:r>
                        <w:r>
                          <w:rPr>
                            <w:sz w:val="16"/>
                          </w:rPr>
                          <w:t>the</w:t>
                        </w:r>
                        <w:r>
                          <w:rPr>
                            <w:spacing w:val="-7"/>
                            <w:sz w:val="16"/>
                          </w:rPr>
                          <w:t xml:space="preserve"> </w:t>
                        </w:r>
                        <w:r>
                          <w:rPr>
                            <w:sz w:val="16"/>
                          </w:rPr>
                          <w:t>last</w:t>
                        </w:r>
                      </w:p>
                      <w:p w14:paraId="35415BFD" w14:textId="77777777" w:rsidR="00BE2CE4" w:rsidRDefault="00DC24F8">
                        <w:pPr>
                          <w:pStyle w:val="TableParagraph"/>
                          <w:spacing w:before="0" w:line="167" w:lineRule="exact"/>
                          <w:jc w:val="both"/>
                          <w:rPr>
                            <w:sz w:val="16"/>
                          </w:rPr>
                        </w:pPr>
                        <w:r>
                          <w:rPr>
                            <w:sz w:val="16"/>
                          </w:rPr>
                          <w:t>financial year.</w:t>
                        </w:r>
                      </w:p>
                    </w:tc>
                  </w:tr>
                </w:tbl>
                <w:p w14:paraId="7B4DFE72" w14:textId="77777777" w:rsidR="00BE2CE4" w:rsidRDefault="00BE2CE4">
                  <w:pPr>
                    <w:pStyle w:val="BodyText"/>
                  </w:pPr>
                </w:p>
              </w:txbxContent>
            </v:textbox>
            <w10:wrap anchorx="page"/>
          </v:shape>
        </w:pict>
      </w:r>
      <w:r w:rsidR="00DC24F8">
        <w:t>The Exit and Entry charges shown are maximum figures. It is possible that you will pay substantially less, or there will be no charges at all. You can find out the actual entry and exit charges from your financial advisor or the Manager of the Fund.</w:t>
      </w:r>
    </w:p>
    <w:p w14:paraId="37916517" w14:textId="77777777" w:rsidR="00BE2CE4" w:rsidRDefault="00BE2CE4">
      <w:pPr>
        <w:pStyle w:val="BodyText"/>
        <w:spacing w:before="6"/>
        <w:rPr>
          <w:sz w:val="17"/>
        </w:rPr>
      </w:pPr>
    </w:p>
    <w:p w14:paraId="5FE00702" w14:textId="6B8BA2BE" w:rsidR="00BE2CE4" w:rsidRDefault="00DC24F8">
      <w:pPr>
        <w:pStyle w:val="BodyText"/>
        <w:spacing w:line="259" w:lineRule="auto"/>
        <w:ind w:left="5813" w:right="147"/>
        <w:jc w:val="both"/>
      </w:pPr>
      <w:r>
        <w:t>There is no charge for switching between sub-Funds up to a maximum of four times per annum.</w:t>
      </w:r>
    </w:p>
    <w:p w14:paraId="3079C7E5" w14:textId="77777777" w:rsidR="00BE2CE4" w:rsidRDefault="00BE2CE4">
      <w:pPr>
        <w:pStyle w:val="BodyText"/>
        <w:spacing w:before="8"/>
        <w:rPr>
          <w:sz w:val="24"/>
        </w:rPr>
      </w:pPr>
    </w:p>
    <w:p w14:paraId="4AF672CF" w14:textId="19B31968" w:rsidR="00BE2CE4" w:rsidRDefault="00DC24F8">
      <w:pPr>
        <w:pStyle w:val="BodyText"/>
        <w:spacing w:line="259" w:lineRule="auto"/>
        <w:ind w:left="5813" w:right="144"/>
        <w:jc w:val="both"/>
      </w:pPr>
      <w:r>
        <w:t>The ongoing charges figure is based on the expenses of the year ending 31 December 20</w:t>
      </w:r>
      <w:r w:rsidR="00E76E15">
        <w:t>2</w:t>
      </w:r>
      <w:r w:rsidR="00953092">
        <w:t>1</w:t>
      </w:r>
      <w:r>
        <w:t>. This figure may vary from year to year. It excludes portfolio transaction costs, except in the case of an entry or exit charge paid by the UCITS when buying or selling units in another UCITS or collective investment undertaking.</w:t>
      </w:r>
    </w:p>
    <w:p w14:paraId="6B9F4823" w14:textId="507C7F5E" w:rsidR="00BE2CE4" w:rsidRDefault="00DC24F8">
      <w:pPr>
        <w:pStyle w:val="BodyText"/>
        <w:spacing w:before="48" w:line="259" w:lineRule="auto"/>
        <w:ind w:left="5813" w:right="149"/>
        <w:jc w:val="both"/>
      </w:pPr>
      <w:r>
        <w:t>The ongoing charges figure includes the ongoing charges of the collective investment schemes or exchange-traded Funds held by the Fund.</w:t>
      </w:r>
    </w:p>
    <w:p w14:paraId="589F57DB" w14:textId="77777777" w:rsidR="00BE2CE4" w:rsidRDefault="00BE2CE4">
      <w:pPr>
        <w:pStyle w:val="BodyText"/>
        <w:spacing w:before="9"/>
        <w:rPr>
          <w:sz w:val="20"/>
        </w:rPr>
      </w:pPr>
    </w:p>
    <w:p w14:paraId="73FA512F" w14:textId="2BC2D59B" w:rsidR="00BE2CE4" w:rsidRDefault="00DC24F8">
      <w:pPr>
        <w:pStyle w:val="BodyText"/>
        <w:spacing w:before="1"/>
        <w:ind w:left="154"/>
      </w:pPr>
      <w:r>
        <w:t>You can find more details about the charges in the section of the Fund’s Prospectus entitled Fees and Expenses.</w:t>
      </w:r>
    </w:p>
    <w:p w14:paraId="6509761A" w14:textId="211B4AA5" w:rsidR="00BE2CE4" w:rsidRDefault="00754641">
      <w:pPr>
        <w:pStyle w:val="BodyText"/>
        <w:spacing w:before="5"/>
        <w:rPr>
          <w:sz w:val="20"/>
        </w:rPr>
      </w:pPr>
      <w:r>
        <w:pict w14:anchorId="661ABAC7">
          <v:shape id="_x0000_s1061" type="#_x0000_t202" style="position:absolute;margin-left:23.1pt;margin-top:14.2pt;width:539.2pt;height:12.75pt;z-index:-251651072;mso-wrap-distance-left:0;mso-wrap-distance-right:0;mso-position-horizontal-relative:page" fillcolor="#bfbfbf" strokeweight=".84pt">
            <v:textbox inset="0,0,0,0">
              <w:txbxContent>
                <w:p w14:paraId="502C8E03" w14:textId="77777777" w:rsidR="00BE2CE4" w:rsidRDefault="00DC24F8">
                  <w:pPr>
                    <w:spacing w:before="23"/>
                    <w:ind w:left="26"/>
                    <w:rPr>
                      <w:b/>
                      <w:sz w:val="17"/>
                    </w:rPr>
                  </w:pPr>
                  <w:r>
                    <w:rPr>
                      <w:b/>
                      <w:w w:val="105"/>
                      <w:sz w:val="17"/>
                    </w:rPr>
                    <w:t>Past Performance</w:t>
                  </w:r>
                </w:p>
              </w:txbxContent>
            </v:textbox>
            <w10:wrap type="topAndBottom" anchorx="page"/>
          </v:shape>
        </w:pict>
      </w:r>
    </w:p>
    <w:p w14:paraId="3704B15E" w14:textId="1439B375" w:rsidR="00BE2CE4" w:rsidRDefault="00BE2CE4">
      <w:pPr>
        <w:pStyle w:val="BodyText"/>
        <w:spacing w:before="8"/>
      </w:pPr>
    </w:p>
    <w:p w14:paraId="04A6539E" w14:textId="2C790976" w:rsidR="00063F07" w:rsidRDefault="00063F07" w:rsidP="00063F07">
      <w:pPr>
        <w:pStyle w:val="BodyText"/>
        <w:ind w:left="142"/>
        <w:rPr>
          <w:b/>
        </w:rPr>
      </w:pPr>
      <w:r w:rsidRPr="00A33F2A">
        <w:rPr>
          <w:b/>
        </w:rPr>
        <w:t>There is insufficient data for this Share Class to provide a useful indication of past performance.</w:t>
      </w:r>
      <w:r>
        <w:rPr>
          <w:b/>
        </w:rPr>
        <w:t xml:space="preserve">  </w:t>
      </w:r>
    </w:p>
    <w:p w14:paraId="4320E81D" w14:textId="77777777" w:rsidR="00BE2CE4" w:rsidRDefault="00BE2CE4">
      <w:pPr>
        <w:pStyle w:val="BodyText"/>
        <w:rPr>
          <w:sz w:val="20"/>
        </w:rPr>
      </w:pPr>
    </w:p>
    <w:p w14:paraId="60756697" w14:textId="77777777" w:rsidR="00BE2CE4" w:rsidRDefault="00754641">
      <w:pPr>
        <w:pStyle w:val="BodyText"/>
        <w:spacing w:before="6"/>
        <w:rPr>
          <w:sz w:val="23"/>
        </w:rPr>
      </w:pPr>
      <w:r>
        <w:pict w14:anchorId="1B119A83">
          <v:shape id="_x0000_s1026" type="#_x0000_t202" style="position:absolute;margin-left:23.1pt;margin-top:15.95pt;width:539.2pt;height:12.75pt;z-index:-251650048;mso-wrap-distance-left:0;mso-wrap-distance-right:0;mso-position-horizontal-relative:page" fillcolor="#bfbfbf" strokeweight=".84pt">
            <v:textbox inset="0,0,0,0">
              <w:txbxContent>
                <w:p w14:paraId="12BC2FB6" w14:textId="77777777" w:rsidR="00BE2CE4" w:rsidRDefault="00DC24F8">
                  <w:pPr>
                    <w:spacing w:before="23"/>
                    <w:ind w:left="26"/>
                    <w:rPr>
                      <w:b/>
                      <w:sz w:val="17"/>
                    </w:rPr>
                  </w:pPr>
                  <w:r>
                    <w:rPr>
                      <w:b/>
                      <w:w w:val="105"/>
                      <w:sz w:val="17"/>
                    </w:rPr>
                    <w:t>Practical Information</w:t>
                  </w:r>
                </w:p>
              </w:txbxContent>
            </v:textbox>
            <w10:wrap type="topAndBottom" anchorx="page"/>
          </v:shape>
        </w:pict>
      </w:r>
    </w:p>
    <w:p w14:paraId="12EDA8B1" w14:textId="77777777" w:rsidR="00BE2CE4" w:rsidRDefault="00BE2CE4">
      <w:pPr>
        <w:rPr>
          <w:sz w:val="23"/>
        </w:rPr>
        <w:sectPr w:rsidR="00BE2CE4">
          <w:pgSz w:w="11910" w:h="16840"/>
          <w:pgMar w:top="660" w:right="540" w:bottom="280" w:left="340" w:header="720" w:footer="720" w:gutter="0"/>
          <w:cols w:space="720"/>
        </w:sectPr>
      </w:pPr>
    </w:p>
    <w:p w14:paraId="6C4C85DA" w14:textId="25C364D9" w:rsidR="00E76E15" w:rsidRDefault="00DC24F8" w:rsidP="00590C80">
      <w:pPr>
        <w:pStyle w:val="BodyText"/>
        <w:spacing w:before="74"/>
        <w:ind w:left="154" w:right="38"/>
      </w:pPr>
      <w:r>
        <w:rPr>
          <w:b/>
        </w:rPr>
        <w:t xml:space="preserve">Fund Depositary: </w:t>
      </w:r>
      <w:r>
        <w:t xml:space="preserve">Northern Trust Fiduciary Services (Ireland) Limited </w:t>
      </w:r>
    </w:p>
    <w:p w14:paraId="5400B2AC" w14:textId="77777777" w:rsidR="00E76E15" w:rsidRDefault="00E76E15" w:rsidP="00590C80">
      <w:pPr>
        <w:pStyle w:val="BodyText"/>
        <w:spacing w:before="74"/>
        <w:ind w:left="154" w:right="38"/>
      </w:pPr>
    </w:p>
    <w:p w14:paraId="426D4F1D" w14:textId="228D2340" w:rsidR="00BE2CE4" w:rsidRDefault="00DC24F8" w:rsidP="00590C80">
      <w:pPr>
        <w:pStyle w:val="BodyText"/>
        <w:spacing w:before="74"/>
        <w:ind w:left="154" w:right="38"/>
      </w:pPr>
      <w:r>
        <w:rPr>
          <w:b/>
        </w:rPr>
        <w:t>Further</w:t>
      </w:r>
      <w:r>
        <w:rPr>
          <w:b/>
          <w:spacing w:val="-6"/>
        </w:rPr>
        <w:t xml:space="preserve"> </w:t>
      </w:r>
      <w:r>
        <w:rPr>
          <w:b/>
        </w:rPr>
        <w:t>Information:</w:t>
      </w:r>
      <w:r>
        <w:rPr>
          <w:b/>
          <w:spacing w:val="-9"/>
        </w:rPr>
        <w:t xml:space="preserve"> </w:t>
      </w:r>
      <w:r>
        <w:t>Copies</w:t>
      </w:r>
      <w:r>
        <w:rPr>
          <w:spacing w:val="-3"/>
        </w:rPr>
        <w:t xml:space="preserve"> </w:t>
      </w:r>
      <w:r>
        <w:t>of</w:t>
      </w:r>
      <w:r>
        <w:rPr>
          <w:spacing w:val="-3"/>
        </w:rPr>
        <w:t xml:space="preserve"> </w:t>
      </w:r>
      <w:r>
        <w:t>the</w:t>
      </w:r>
      <w:r>
        <w:rPr>
          <w:spacing w:val="-5"/>
        </w:rPr>
        <w:t xml:space="preserve"> </w:t>
      </w:r>
      <w:r>
        <w:t>Prospectus</w:t>
      </w:r>
      <w:r>
        <w:rPr>
          <w:spacing w:val="-6"/>
        </w:rPr>
        <w:t xml:space="preserve"> </w:t>
      </w:r>
      <w:r>
        <w:t>and</w:t>
      </w:r>
      <w:r>
        <w:rPr>
          <w:spacing w:val="-3"/>
        </w:rPr>
        <w:t xml:space="preserve"> </w:t>
      </w:r>
      <w:r>
        <w:t>the</w:t>
      </w:r>
      <w:r>
        <w:rPr>
          <w:spacing w:val="-7"/>
        </w:rPr>
        <w:t xml:space="preserve"> </w:t>
      </w:r>
      <w:r>
        <w:t>annual</w:t>
      </w:r>
      <w:r>
        <w:rPr>
          <w:spacing w:val="-2"/>
        </w:rPr>
        <w:t xml:space="preserve"> </w:t>
      </w:r>
      <w:r>
        <w:t>and</w:t>
      </w:r>
      <w:r>
        <w:rPr>
          <w:spacing w:val="-6"/>
        </w:rPr>
        <w:t xml:space="preserve"> </w:t>
      </w:r>
      <w:r>
        <w:t>half- yearly reports of Prescient Global Fund plc (the “</w:t>
      </w:r>
      <w:r w:rsidR="00E76E15">
        <w:t>ICAV</w:t>
      </w:r>
      <w:r>
        <w:t xml:space="preserve">”) are available in English and may be obtained, free of charge,  from Prescient Fund Services (Ireland) Limited (the “Manager”) at </w:t>
      </w:r>
      <w:r w:rsidR="00E76E15">
        <w:t xml:space="preserve">35 Merrion Square East, </w:t>
      </w:r>
      <w:r>
        <w:t xml:space="preserve">Dublin 2, Ireland or by visiting </w:t>
      </w:r>
      <w:hyperlink r:id="rId5">
        <w:r>
          <w:t>www.prescient.ie.</w:t>
        </w:r>
      </w:hyperlink>
      <w:r>
        <w:t xml:space="preserve"> Any translated copies are available at the office of the local paying agents in your jurisdiction (if any) or on</w:t>
      </w:r>
      <w:r>
        <w:rPr>
          <w:spacing w:val="-14"/>
        </w:rPr>
        <w:t xml:space="preserve"> </w:t>
      </w:r>
      <w:hyperlink r:id="rId6">
        <w:r>
          <w:t>www.prescient.ie.</w:t>
        </w:r>
      </w:hyperlink>
    </w:p>
    <w:p w14:paraId="3136B2B7" w14:textId="62172615" w:rsidR="00BE2CE4" w:rsidRDefault="00DC24F8" w:rsidP="00590C80">
      <w:pPr>
        <w:pStyle w:val="BodyText"/>
        <w:spacing w:before="74"/>
        <w:ind w:left="154" w:right="515"/>
        <w:sectPr w:rsidR="00BE2CE4">
          <w:type w:val="continuous"/>
          <w:pgSz w:w="11910" w:h="16840"/>
          <w:pgMar w:top="420" w:right="540" w:bottom="280" w:left="340" w:header="720" w:footer="720" w:gutter="0"/>
          <w:cols w:num="2" w:space="720" w:equalWidth="0">
            <w:col w:w="5305" w:space="354"/>
            <w:col w:w="5371"/>
          </w:cols>
        </w:sectPr>
      </w:pPr>
      <w:r>
        <w:br w:type="column"/>
      </w:r>
      <w:r>
        <w:rPr>
          <w:b/>
        </w:rPr>
        <w:t xml:space="preserve">Fund Structure: </w:t>
      </w:r>
      <w:r>
        <w:t>This document describes a share class of 27Four Global Equity Fund of Funds, a sub-Fund of the</w:t>
      </w:r>
      <w:r>
        <w:rPr>
          <w:spacing w:val="-20"/>
        </w:rPr>
        <w:t xml:space="preserve"> </w:t>
      </w:r>
      <w:r w:rsidR="00E76E15">
        <w:t>ICAV</w:t>
      </w:r>
      <w:r>
        <w:t>.</w:t>
      </w:r>
      <w:r w:rsidRPr="00063F07">
        <w:t xml:space="preserve">The assets and liabilities of each sub-Fund of the </w:t>
      </w:r>
      <w:r w:rsidR="00E76E15" w:rsidRPr="00063F07">
        <w:t>ICAV</w:t>
      </w:r>
      <w:r w:rsidRPr="00063F07">
        <w:t xml:space="preserve"> are segregated subject to the provisions of Irish law. The Prospectus and Periodic Reports are prepared for the entire </w:t>
      </w:r>
      <w:r w:rsidR="00E76E15" w:rsidRPr="00063F07">
        <w:t>ICAV</w:t>
      </w:r>
      <w:r w:rsidRPr="00063F07">
        <w:t xml:space="preserve">. You can find out more information about the </w:t>
      </w:r>
      <w:r w:rsidR="00E76E15" w:rsidRPr="00063F07">
        <w:t>ICAV</w:t>
      </w:r>
      <w:r w:rsidRPr="00063F07">
        <w:t xml:space="preserve"> in the Prospectus</w:t>
      </w:r>
      <w:r>
        <w:t>.</w:t>
      </w:r>
    </w:p>
    <w:p w14:paraId="1A72ED7A" w14:textId="77777777" w:rsidR="00BE2CE4" w:rsidRDefault="00BE2CE4" w:rsidP="00590C80">
      <w:pPr>
        <w:pStyle w:val="BodyText"/>
        <w:spacing w:before="2"/>
        <w:rPr>
          <w:sz w:val="21"/>
        </w:rPr>
      </w:pPr>
    </w:p>
    <w:p w14:paraId="460D1060" w14:textId="36FEA7DD" w:rsidR="00BE2CE4" w:rsidRDefault="00DC24F8" w:rsidP="00590C80">
      <w:pPr>
        <w:tabs>
          <w:tab w:val="left" w:pos="5813"/>
        </w:tabs>
        <w:spacing w:before="98"/>
        <w:ind w:left="154"/>
        <w:rPr>
          <w:sz w:val="16"/>
        </w:rPr>
      </w:pPr>
      <w:r>
        <w:rPr>
          <w:b/>
          <w:sz w:val="16"/>
        </w:rPr>
        <w:t xml:space="preserve">Share Price / NAV:  </w:t>
      </w:r>
      <w:r>
        <w:rPr>
          <w:sz w:val="16"/>
        </w:rPr>
        <w:t>The net asset value of the Fund</w:t>
      </w:r>
      <w:r>
        <w:rPr>
          <w:spacing w:val="-17"/>
          <w:sz w:val="16"/>
        </w:rPr>
        <w:t xml:space="preserve"> </w:t>
      </w:r>
      <w:r>
        <w:rPr>
          <w:sz w:val="16"/>
        </w:rPr>
        <w:t>is</w:t>
      </w:r>
      <w:r>
        <w:rPr>
          <w:spacing w:val="-5"/>
          <w:sz w:val="16"/>
        </w:rPr>
        <w:t xml:space="preserve"> </w:t>
      </w:r>
      <w:r w:rsidR="00953092">
        <w:rPr>
          <w:sz w:val="16"/>
        </w:rPr>
        <w:tab/>
      </w:r>
      <w:r w:rsidR="00A140B3" w:rsidRPr="00A140B3">
        <w:rPr>
          <w:b/>
          <w:bCs/>
          <w:sz w:val="16"/>
        </w:rPr>
        <w:t>Renumeration</w:t>
      </w:r>
      <w:r>
        <w:rPr>
          <w:b/>
          <w:position w:val="1"/>
          <w:sz w:val="16"/>
        </w:rPr>
        <w:t>:</w:t>
      </w:r>
      <w:r>
        <w:rPr>
          <w:b/>
          <w:spacing w:val="8"/>
          <w:position w:val="1"/>
          <w:sz w:val="16"/>
        </w:rPr>
        <w:t xml:space="preserve"> </w:t>
      </w:r>
      <w:r>
        <w:rPr>
          <w:position w:val="1"/>
          <w:sz w:val="16"/>
        </w:rPr>
        <w:t>Details of the up-to-date remuneration policy of the</w:t>
      </w:r>
    </w:p>
    <w:p w14:paraId="7E3A0F68" w14:textId="77777777" w:rsidR="00BE2CE4" w:rsidRDefault="00BE2CE4" w:rsidP="00590C80">
      <w:pPr>
        <w:rPr>
          <w:sz w:val="16"/>
        </w:rPr>
        <w:sectPr w:rsidR="00BE2CE4">
          <w:type w:val="continuous"/>
          <w:pgSz w:w="11910" w:h="16840"/>
          <w:pgMar w:top="420" w:right="540" w:bottom="280" w:left="340" w:header="720" w:footer="720" w:gutter="0"/>
          <w:cols w:space="720"/>
        </w:sectPr>
      </w:pPr>
    </w:p>
    <w:p w14:paraId="5E3B87C5" w14:textId="212AB9D2" w:rsidR="00BE2CE4" w:rsidRPr="00E76E15" w:rsidRDefault="00DC24F8" w:rsidP="00590C80">
      <w:pPr>
        <w:pStyle w:val="BodyText"/>
        <w:spacing w:before="37"/>
        <w:ind w:left="154" w:right="38"/>
        <w:jc w:val="both"/>
      </w:pPr>
      <w:r>
        <w:t>in USD. The unit prices are published in USD on each Business Day. The</w:t>
      </w:r>
      <w:r>
        <w:rPr>
          <w:spacing w:val="-7"/>
        </w:rPr>
        <w:t xml:space="preserve"> </w:t>
      </w:r>
      <w:r>
        <w:t>prices</w:t>
      </w:r>
      <w:r>
        <w:rPr>
          <w:spacing w:val="-5"/>
        </w:rPr>
        <w:t xml:space="preserve"> </w:t>
      </w:r>
      <w:r>
        <w:t>are</w:t>
      </w:r>
      <w:r>
        <w:rPr>
          <w:spacing w:val="-4"/>
        </w:rPr>
        <w:t xml:space="preserve"> </w:t>
      </w:r>
      <w:r>
        <w:t>available</w:t>
      </w:r>
      <w:r>
        <w:rPr>
          <w:spacing w:val="-2"/>
        </w:rPr>
        <w:t xml:space="preserve"> </w:t>
      </w:r>
      <w:r>
        <w:t>from</w:t>
      </w:r>
      <w:r>
        <w:rPr>
          <w:spacing w:val="-4"/>
        </w:rPr>
        <w:t xml:space="preserve"> </w:t>
      </w:r>
      <w:r>
        <w:t>the</w:t>
      </w:r>
      <w:r>
        <w:rPr>
          <w:spacing w:val="-6"/>
        </w:rPr>
        <w:t xml:space="preserve"> </w:t>
      </w:r>
      <w:r>
        <w:t>Investment</w:t>
      </w:r>
      <w:r>
        <w:rPr>
          <w:spacing w:val="-5"/>
        </w:rPr>
        <w:t xml:space="preserve"> </w:t>
      </w:r>
      <w:r>
        <w:t>Manager</w:t>
      </w:r>
      <w:r>
        <w:rPr>
          <w:spacing w:val="-4"/>
        </w:rPr>
        <w:t xml:space="preserve"> </w:t>
      </w:r>
      <w:r>
        <w:t>and</w:t>
      </w:r>
      <w:r>
        <w:rPr>
          <w:spacing w:val="-3"/>
        </w:rPr>
        <w:t xml:space="preserve"> </w:t>
      </w:r>
      <w:r>
        <w:t>the</w:t>
      </w:r>
      <w:r>
        <w:rPr>
          <w:spacing w:val="-7"/>
        </w:rPr>
        <w:t xml:space="preserve"> </w:t>
      </w:r>
      <w:r>
        <w:t>Manager during normal business hours and will be published on Prescient Fund Services (Ireland)’s website at</w:t>
      </w:r>
      <w:r>
        <w:rPr>
          <w:spacing w:val="-10"/>
        </w:rPr>
        <w:t xml:space="preserve"> </w:t>
      </w:r>
      <w:hyperlink r:id="rId7">
        <w:r>
          <w:t>www.prescient.ie.</w:t>
        </w:r>
      </w:hyperlink>
    </w:p>
    <w:p w14:paraId="2CD47A37" w14:textId="77777777" w:rsidR="00BE2CE4" w:rsidRDefault="00BE2CE4" w:rsidP="00590C80">
      <w:pPr>
        <w:pStyle w:val="BodyText"/>
        <w:spacing w:before="2"/>
      </w:pPr>
    </w:p>
    <w:p w14:paraId="6E616E2A" w14:textId="77777777" w:rsidR="00BE2CE4" w:rsidRDefault="00DC24F8" w:rsidP="00590C80">
      <w:pPr>
        <w:pStyle w:val="BodyText"/>
        <w:ind w:left="154" w:right="42"/>
        <w:jc w:val="both"/>
      </w:pPr>
      <w:r>
        <w:rPr>
          <w:b/>
        </w:rPr>
        <w:t xml:space="preserve">Taxation: </w:t>
      </w:r>
      <w:r>
        <w:t>The Fund is subject to tax laws and regulations of Ireland. Depending on your home country of residence, this might have an impact on your investment. For further details, please speak to an adviser.</w:t>
      </w:r>
    </w:p>
    <w:p w14:paraId="2ACC2776" w14:textId="77777777" w:rsidR="00BE2CE4" w:rsidRDefault="00BE2CE4" w:rsidP="00590C80">
      <w:pPr>
        <w:pStyle w:val="BodyText"/>
        <w:spacing w:before="9"/>
        <w:rPr>
          <w:sz w:val="18"/>
        </w:rPr>
      </w:pPr>
    </w:p>
    <w:p w14:paraId="7512AA6A" w14:textId="4BFCD4DC" w:rsidR="00BE2CE4" w:rsidRDefault="00DC24F8" w:rsidP="00590C80">
      <w:pPr>
        <w:pStyle w:val="BodyText"/>
        <w:ind w:left="154" w:right="41"/>
        <w:jc w:val="both"/>
      </w:pPr>
      <w:r>
        <w:rPr>
          <w:b/>
        </w:rPr>
        <w:t xml:space="preserve">Switches: </w:t>
      </w:r>
      <w:r>
        <w:t xml:space="preserve">You are entitled to switch your shares to shares in the  same class of another sub-Fund of the </w:t>
      </w:r>
      <w:r w:rsidR="00E76E15">
        <w:t>ICAV</w:t>
      </w:r>
      <w:r>
        <w:t>, subject to the sub- Fund’s switching charge - see under “Charges for this Fund”. Please refer</w:t>
      </w:r>
      <w:r>
        <w:rPr>
          <w:spacing w:val="-4"/>
        </w:rPr>
        <w:t xml:space="preserve"> </w:t>
      </w:r>
      <w:r>
        <w:t>to</w:t>
      </w:r>
      <w:r>
        <w:rPr>
          <w:spacing w:val="-3"/>
        </w:rPr>
        <w:t xml:space="preserve"> </w:t>
      </w:r>
      <w:r>
        <w:t>the</w:t>
      </w:r>
      <w:r>
        <w:rPr>
          <w:spacing w:val="-3"/>
        </w:rPr>
        <w:t xml:space="preserve"> </w:t>
      </w:r>
      <w:r>
        <w:t>Prospectus</w:t>
      </w:r>
      <w:r>
        <w:rPr>
          <w:spacing w:val="-3"/>
        </w:rPr>
        <w:t xml:space="preserve"> </w:t>
      </w:r>
      <w:r>
        <w:t>for</w:t>
      </w:r>
      <w:r>
        <w:rPr>
          <w:spacing w:val="-4"/>
        </w:rPr>
        <w:t xml:space="preserve"> </w:t>
      </w:r>
      <w:r>
        <w:t>further</w:t>
      </w:r>
      <w:r>
        <w:rPr>
          <w:spacing w:val="-3"/>
        </w:rPr>
        <w:t xml:space="preserve"> </w:t>
      </w:r>
      <w:r>
        <w:t>information</w:t>
      </w:r>
      <w:r>
        <w:rPr>
          <w:spacing w:val="-3"/>
        </w:rPr>
        <w:t xml:space="preserve"> </w:t>
      </w:r>
      <w:r>
        <w:t>on</w:t>
      </w:r>
      <w:r>
        <w:rPr>
          <w:spacing w:val="-3"/>
        </w:rPr>
        <w:t xml:space="preserve"> </w:t>
      </w:r>
      <w:r>
        <w:t>how</w:t>
      </w:r>
      <w:r>
        <w:rPr>
          <w:spacing w:val="-3"/>
        </w:rPr>
        <w:t xml:space="preserve"> </w:t>
      </w:r>
      <w:r>
        <w:t>to</w:t>
      </w:r>
      <w:r>
        <w:rPr>
          <w:spacing w:val="-4"/>
        </w:rPr>
        <w:t xml:space="preserve"> </w:t>
      </w:r>
      <w:r>
        <w:t>switch</w:t>
      </w:r>
    </w:p>
    <w:p w14:paraId="68208876" w14:textId="77777777" w:rsidR="00BE2CE4" w:rsidRDefault="00DC24F8" w:rsidP="00590C80">
      <w:pPr>
        <w:pStyle w:val="BodyText"/>
        <w:spacing w:before="6"/>
        <w:ind w:left="154" w:right="147"/>
        <w:jc w:val="both"/>
      </w:pPr>
      <w:r>
        <w:br w:type="column"/>
      </w:r>
      <w:r>
        <w:t xml:space="preserve">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8">
        <w:r>
          <w:t>www.prescient.ie.</w:t>
        </w:r>
      </w:hyperlink>
      <w:r>
        <w:t xml:space="preserve"> A paper copy of the remuneration policy will be made available free of charge upon request from the Manager.</w:t>
      </w:r>
    </w:p>
    <w:p w14:paraId="431FFCB2" w14:textId="77777777" w:rsidR="00BE2CE4" w:rsidRDefault="00BE2CE4" w:rsidP="00590C80">
      <w:pPr>
        <w:pStyle w:val="BodyText"/>
        <w:spacing w:before="6"/>
        <w:rPr>
          <w:sz w:val="20"/>
        </w:rPr>
      </w:pPr>
    </w:p>
    <w:p w14:paraId="3D2E0CBC" w14:textId="77777777" w:rsidR="00BE2CE4" w:rsidRDefault="00DC24F8" w:rsidP="00590C80">
      <w:pPr>
        <w:pStyle w:val="BodyText"/>
        <w:ind w:left="154" w:right="148"/>
        <w:jc w:val="both"/>
      </w:pPr>
      <w:r>
        <w:rPr>
          <w:b/>
        </w:rPr>
        <w:t xml:space="preserve">Responsibility for Information: </w:t>
      </w:r>
      <w:r>
        <w:t>The Manager may be held liable solely on the basis of any statement contained in this document that is misleading, inaccurate or inconsistent with the relevant parts of the Prospectus for the Fund.</w:t>
      </w:r>
    </w:p>
    <w:p w14:paraId="2AAB5A7F" w14:textId="77777777" w:rsidR="00BE2CE4" w:rsidRDefault="00BE2CE4">
      <w:pPr>
        <w:spacing w:line="261" w:lineRule="auto"/>
        <w:jc w:val="both"/>
        <w:sectPr w:rsidR="00BE2CE4">
          <w:type w:val="continuous"/>
          <w:pgSz w:w="11910" w:h="16840"/>
          <w:pgMar w:top="420" w:right="540" w:bottom="280" w:left="340" w:header="720" w:footer="720" w:gutter="0"/>
          <w:cols w:num="2" w:space="720" w:equalWidth="0">
            <w:col w:w="5260" w:space="400"/>
            <w:col w:w="5370"/>
          </w:cols>
        </w:sectPr>
      </w:pPr>
    </w:p>
    <w:p w14:paraId="2AD388DD" w14:textId="77777777" w:rsidR="00E76E15" w:rsidRDefault="00E76E15">
      <w:pPr>
        <w:pStyle w:val="BodyText"/>
        <w:spacing w:before="69" w:line="259" w:lineRule="auto"/>
        <w:ind w:left="154" w:right="152"/>
      </w:pPr>
    </w:p>
    <w:p w14:paraId="0ABB7795" w14:textId="6C9DCDB8" w:rsidR="00BE2CE4" w:rsidRDefault="00DC24F8">
      <w:pPr>
        <w:pStyle w:val="BodyText"/>
        <w:spacing w:before="69" w:line="259" w:lineRule="auto"/>
        <w:ind w:left="154" w:right="152"/>
      </w:pPr>
      <w:r>
        <w:t xml:space="preserve">The </w:t>
      </w:r>
      <w:r w:rsidR="00E76E15">
        <w:t>ICAV</w:t>
      </w:r>
      <w:r>
        <w:t xml:space="preserve"> is authorised in Ireland and approved by the Central Bank of Ireland. The Manager is authorised in Ireland and regulated by the Central Bank of Ireland. This Key Information Document is accurate as </w:t>
      </w:r>
      <w:r w:rsidR="00953092">
        <w:t xml:space="preserve">at </w:t>
      </w:r>
      <w:r w:rsidR="00754641">
        <w:t>6 September 2022.</w:t>
      </w:r>
    </w:p>
    <w:sectPr w:rsidR="00BE2CE4">
      <w:type w:val="continuous"/>
      <w:pgSz w:w="11910" w:h="16840"/>
      <w:pgMar w:top="420" w:right="5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95C2F"/>
    <w:multiLevelType w:val="hybridMultilevel"/>
    <w:tmpl w:val="96AA8184"/>
    <w:lvl w:ilvl="0" w:tplc="33A0D6DE">
      <w:numFmt w:val="bullet"/>
      <w:lvlText w:val="•"/>
      <w:lvlJc w:val="left"/>
      <w:pPr>
        <w:ind w:left="154" w:hanging="106"/>
      </w:pPr>
      <w:rPr>
        <w:rFonts w:ascii="Arial" w:eastAsia="Arial" w:hAnsi="Arial" w:cs="Arial" w:hint="default"/>
        <w:w w:val="99"/>
        <w:sz w:val="16"/>
        <w:szCs w:val="16"/>
      </w:rPr>
    </w:lvl>
    <w:lvl w:ilvl="1" w:tplc="B8A4EAEC">
      <w:numFmt w:val="bullet"/>
      <w:lvlText w:val="•"/>
      <w:lvlJc w:val="left"/>
      <w:pPr>
        <w:ind w:left="672" w:hanging="106"/>
      </w:pPr>
      <w:rPr>
        <w:rFonts w:hint="default"/>
      </w:rPr>
    </w:lvl>
    <w:lvl w:ilvl="2" w:tplc="0C8CC570">
      <w:numFmt w:val="bullet"/>
      <w:lvlText w:val="•"/>
      <w:lvlJc w:val="left"/>
      <w:pPr>
        <w:ind w:left="1185" w:hanging="106"/>
      </w:pPr>
      <w:rPr>
        <w:rFonts w:hint="default"/>
      </w:rPr>
    </w:lvl>
    <w:lvl w:ilvl="3" w:tplc="007E334A">
      <w:numFmt w:val="bullet"/>
      <w:lvlText w:val="•"/>
      <w:lvlJc w:val="left"/>
      <w:pPr>
        <w:ind w:left="1697" w:hanging="106"/>
      </w:pPr>
      <w:rPr>
        <w:rFonts w:hint="default"/>
      </w:rPr>
    </w:lvl>
    <w:lvl w:ilvl="4" w:tplc="1A00E32E">
      <w:numFmt w:val="bullet"/>
      <w:lvlText w:val="•"/>
      <w:lvlJc w:val="left"/>
      <w:pPr>
        <w:ind w:left="2210" w:hanging="106"/>
      </w:pPr>
      <w:rPr>
        <w:rFonts w:hint="default"/>
      </w:rPr>
    </w:lvl>
    <w:lvl w:ilvl="5" w:tplc="1F58E15A">
      <w:numFmt w:val="bullet"/>
      <w:lvlText w:val="•"/>
      <w:lvlJc w:val="left"/>
      <w:pPr>
        <w:ind w:left="2723" w:hanging="106"/>
      </w:pPr>
      <w:rPr>
        <w:rFonts w:hint="default"/>
      </w:rPr>
    </w:lvl>
    <w:lvl w:ilvl="6" w:tplc="BC463E9A">
      <w:numFmt w:val="bullet"/>
      <w:lvlText w:val="•"/>
      <w:lvlJc w:val="left"/>
      <w:pPr>
        <w:ind w:left="3235" w:hanging="106"/>
      </w:pPr>
      <w:rPr>
        <w:rFonts w:hint="default"/>
      </w:rPr>
    </w:lvl>
    <w:lvl w:ilvl="7" w:tplc="20B63628">
      <w:numFmt w:val="bullet"/>
      <w:lvlText w:val="•"/>
      <w:lvlJc w:val="left"/>
      <w:pPr>
        <w:ind w:left="3748" w:hanging="106"/>
      </w:pPr>
      <w:rPr>
        <w:rFonts w:hint="default"/>
      </w:rPr>
    </w:lvl>
    <w:lvl w:ilvl="8" w:tplc="E604B3A6">
      <w:numFmt w:val="bullet"/>
      <w:lvlText w:val="•"/>
      <w:lvlJc w:val="left"/>
      <w:pPr>
        <w:ind w:left="4260" w:hanging="106"/>
      </w:pPr>
      <w:rPr>
        <w:rFonts w:hint="default"/>
      </w:rPr>
    </w:lvl>
  </w:abstractNum>
  <w:num w:numId="1" w16cid:durableId="177173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E2CE4"/>
    <w:rsid w:val="00063F07"/>
    <w:rsid w:val="000A7B41"/>
    <w:rsid w:val="00590C80"/>
    <w:rsid w:val="00754641"/>
    <w:rsid w:val="00953092"/>
    <w:rsid w:val="00A140B3"/>
    <w:rsid w:val="00BE2CE4"/>
    <w:rsid w:val="00D17C55"/>
    <w:rsid w:val="00D46DB4"/>
    <w:rsid w:val="00DB2253"/>
    <w:rsid w:val="00DC24F8"/>
    <w:rsid w:val="00E540B2"/>
    <w:rsid w:val="00E76E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103A1560"/>
  <w15:docId w15:val="{A12CD442-1B1C-4AB8-812D-7678E059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22" w:right="144"/>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54" w:right="69"/>
      <w:jc w:val="both"/>
    </w:pPr>
  </w:style>
  <w:style w:type="paragraph" w:customStyle="1" w:styleId="TableParagraph">
    <w:name w:val="Table Paragraph"/>
    <w:basedOn w:val="Normal"/>
    <w:uiPriority w:val="1"/>
    <w:qFormat/>
    <w:pPr>
      <w:spacing w:before="77"/>
      <w:ind w:left="30"/>
    </w:pPr>
  </w:style>
  <w:style w:type="paragraph" w:styleId="BalloonText">
    <w:name w:val="Balloon Text"/>
    <w:basedOn w:val="Normal"/>
    <w:link w:val="BalloonTextChar"/>
    <w:uiPriority w:val="99"/>
    <w:semiHidden/>
    <w:unhideWhenUsed/>
    <w:rsid w:val="00DC2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F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92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hyperlink" Target="http://www.prescie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cient.ie/" TargetMode="External"/><Relationship Id="rId5" Type="http://schemas.openxmlformats.org/officeDocument/2006/relationships/hyperlink" Target="http://www.prescient.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27Four Glb EQ KIID Feb 2018.xlsx</dc:title>
  <dc:creator>grant.jacobi</dc:creator>
  <cp:lastModifiedBy>Emma Lally</cp:lastModifiedBy>
  <cp:revision>3</cp:revision>
  <dcterms:created xsi:type="dcterms:W3CDTF">2022-03-23T10:24:00Z</dcterms:created>
  <dcterms:modified xsi:type="dcterms:W3CDTF">2022-09-06T08:42:00Z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PScript5.dll Version 5.2.2</vt:lpwstr>
  </property>
  <property fmtid="{D5CDD505-2E9C-101B-9397-08002B2CF9AE}" pid="4" name="LastSaved">
    <vt:filetime>2020-01-13T00:00:00Z</vt:filetime>
  </property>
</Properties>
</file>