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B0BF2" w14:textId="04FBB4F1" w:rsidR="00C45C92" w:rsidRDefault="00F91DD5" w:rsidP="00747805">
      <w:pPr>
        <w:pStyle w:val="BodyText"/>
        <w:ind w:left="116"/>
        <w:rPr>
          <w:b/>
          <w:sz w:val="25"/>
        </w:rPr>
      </w:pPr>
      <w:r>
        <w:rPr>
          <w:rFonts w:ascii="Times New Roman"/>
          <w:sz w:val="20"/>
        </w:rPr>
      </w:r>
      <w:r>
        <w:rPr>
          <w:rFonts w:ascii="Times New Roman"/>
          <w:sz w:val="20"/>
        </w:rPr>
        <w:pict w14:anchorId="3B95E3F9">
          <v:group id="_x0000_s1059" style="width:187.2pt;height:46.6pt;mso-position-horizontal-relative:char;mso-position-vertical-relative:line" coordsize="3744,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top:12;width:519;height:920">
              <v:imagedata r:id="rId7" o:title=""/>
            </v:shape>
            <v:shape id="_x0000_s1060" type="#_x0000_t75" style="position:absolute;left:504;width:3240;height:843">
              <v:imagedata r:id="rId8" o:title=""/>
            </v:shape>
            <w10:anchorlock/>
          </v:group>
        </w:pict>
      </w:r>
      <w:r w:rsidR="002C3844">
        <w:rPr>
          <w:b/>
          <w:sz w:val="25"/>
        </w:rPr>
        <w:t>Key Investor Information</w:t>
      </w:r>
    </w:p>
    <w:p w14:paraId="41361A21" w14:textId="77777777" w:rsidR="00C45C92" w:rsidRDefault="00F91DD5">
      <w:pPr>
        <w:spacing w:before="116" w:line="276" w:lineRule="auto"/>
        <w:ind w:left="156" w:right="338"/>
        <w:rPr>
          <w:b/>
          <w:sz w:val="16"/>
        </w:rPr>
      </w:pPr>
      <w:r>
        <w:pict w14:anchorId="0057A785">
          <v:group id="_x0000_s1056" style="position:absolute;left:0;text-align:left;margin-left:20.65pt;margin-top:39.95pt;width:551.2pt;height:62.1pt;z-index:-251655168;mso-wrap-distance-left:0;mso-wrap-distance-right:0;mso-position-horizontal-relative:page" coordorigin="413,799" coordsize="11024,1308">
            <v:shapetype id="_x0000_t202" coordsize="21600,21600" o:spt="202" path="m,l,21600r21600,l21600,xe">
              <v:stroke joinstyle="miter"/>
              <v:path gradientshapeok="t" o:connecttype="rect"/>
            </v:shapetype>
            <v:shape id="_x0000_s1058" type="#_x0000_t202" style="position:absolute;left:412;top:1485;width:11024;height:622" fillcolor="#d9d9d9" stroked="f">
              <v:textbox style="mso-next-textbox:#_x0000_s1058" inset="0,0,0,0">
                <w:txbxContent>
                  <w:p w14:paraId="47603805" w14:textId="7B827A84" w:rsidR="00C45C92" w:rsidRDefault="002E0477">
                    <w:pPr>
                      <w:spacing w:before="97"/>
                      <w:ind w:left="23"/>
                      <w:rPr>
                        <w:b/>
                        <w:sz w:val="16"/>
                      </w:rPr>
                    </w:pPr>
                    <w:r w:rsidRPr="002E0477">
                      <w:rPr>
                        <w:b/>
                        <w:sz w:val="16"/>
                      </w:rPr>
                      <w:t xml:space="preserve">Share Class: </w:t>
                    </w:r>
                    <w:r w:rsidR="007D7B61">
                      <w:rPr>
                        <w:b/>
                        <w:sz w:val="16"/>
                      </w:rPr>
                      <w:t>E</w:t>
                    </w:r>
                  </w:p>
                  <w:p w14:paraId="5151FC12" w14:textId="15BB2B98" w:rsidR="00C45C92" w:rsidRPr="006D057B" w:rsidRDefault="002C3844">
                    <w:pPr>
                      <w:spacing w:before="125"/>
                      <w:ind w:left="23"/>
                      <w:rPr>
                        <w:b/>
                        <w:sz w:val="16"/>
                        <w:lang w:val="en-GB"/>
                      </w:rPr>
                    </w:pPr>
                    <w:r>
                      <w:rPr>
                        <w:b/>
                        <w:sz w:val="16"/>
                      </w:rPr>
                      <w:t>This Fund is managed by Prescient Fund Services (Ireland) Limited</w:t>
                    </w:r>
                    <w:r w:rsidR="006D057B">
                      <w:rPr>
                        <w:b/>
                        <w:sz w:val="16"/>
                      </w:rPr>
                      <w:t xml:space="preserve"> (the “Manager”)</w:t>
                    </w:r>
                  </w:p>
                </w:txbxContent>
              </v:textbox>
            </v:shape>
            <v:shape id="_x0000_s1057" type="#_x0000_t202" style="position:absolute;left:412;top:798;width:11024;height:687" fillcolor="#bfbfbf" stroked="f">
              <v:textbox style="mso-next-textbox:#_x0000_s1057" inset="0,0,0,0">
                <w:txbxContent>
                  <w:p w14:paraId="2327D096" w14:textId="2CE3C430" w:rsidR="00C45C92" w:rsidRDefault="002C3844">
                    <w:pPr>
                      <w:spacing w:before="32"/>
                      <w:ind w:left="36"/>
                      <w:rPr>
                        <w:b/>
                        <w:sz w:val="25"/>
                      </w:rPr>
                    </w:pPr>
                    <w:bookmarkStart w:id="0" w:name="_Hlk43229383"/>
                    <w:bookmarkStart w:id="1" w:name="_Hlk43229384"/>
                    <w:r>
                      <w:rPr>
                        <w:b/>
                        <w:sz w:val="25"/>
                      </w:rPr>
                      <w:t>Osmosis Resource Efficien</w:t>
                    </w:r>
                    <w:r w:rsidR="00A70DBB">
                      <w:rPr>
                        <w:b/>
                        <w:sz w:val="25"/>
                      </w:rPr>
                      <w:t>t</w:t>
                    </w:r>
                    <w:r>
                      <w:rPr>
                        <w:b/>
                        <w:sz w:val="25"/>
                      </w:rPr>
                      <w:t xml:space="preserve"> </w:t>
                    </w:r>
                    <w:r w:rsidR="00A70DBB">
                      <w:rPr>
                        <w:b/>
                        <w:sz w:val="25"/>
                      </w:rPr>
                      <w:t xml:space="preserve">Equity Market Neutral </w:t>
                    </w:r>
                    <w:r>
                      <w:rPr>
                        <w:b/>
                        <w:sz w:val="25"/>
                      </w:rPr>
                      <w:t>Fund (the "Fund")</w:t>
                    </w:r>
                  </w:p>
                  <w:p w14:paraId="4979C011" w14:textId="597AB609" w:rsidR="00C45C92" w:rsidRDefault="002C3844">
                    <w:pPr>
                      <w:spacing w:before="58"/>
                      <w:ind w:left="23"/>
                      <w:rPr>
                        <w:b/>
                        <w:sz w:val="16"/>
                      </w:rPr>
                    </w:pPr>
                    <w:r>
                      <w:rPr>
                        <w:b/>
                        <w:sz w:val="16"/>
                      </w:rPr>
                      <w:t xml:space="preserve">a sub-Fund of </w:t>
                    </w:r>
                    <w:r w:rsidR="0026198B">
                      <w:rPr>
                        <w:b/>
                        <w:sz w:val="16"/>
                      </w:rPr>
                      <w:t>OSMOSIS</w:t>
                    </w:r>
                    <w:r>
                      <w:rPr>
                        <w:b/>
                        <w:sz w:val="16"/>
                      </w:rPr>
                      <w:t xml:space="preserve"> ICAV (the "ICAV")</w:t>
                    </w:r>
                    <w:bookmarkEnd w:id="0"/>
                    <w:bookmarkEnd w:id="1"/>
                  </w:p>
                </w:txbxContent>
              </v:textbox>
            </v:shape>
            <w10:wrap type="topAndBottom" anchorx="page"/>
          </v:group>
        </w:pict>
      </w:r>
      <w:r w:rsidR="002C3844">
        <w:rPr>
          <w:b/>
          <w:sz w:val="16"/>
        </w:rPr>
        <w:t>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w:t>
      </w:r>
    </w:p>
    <w:p w14:paraId="53954E50" w14:textId="77777777" w:rsidR="00C45C92" w:rsidRDefault="00C45C92">
      <w:pPr>
        <w:pStyle w:val="BodyText"/>
        <w:spacing w:before="7"/>
        <w:rPr>
          <w:b/>
          <w:sz w:val="6"/>
        </w:rPr>
      </w:pPr>
    </w:p>
    <w:p w14:paraId="21EA233D" w14:textId="77777777" w:rsidR="00C45C92" w:rsidRDefault="00F91DD5">
      <w:pPr>
        <w:pStyle w:val="BodyText"/>
        <w:ind w:left="115"/>
        <w:rPr>
          <w:sz w:val="20"/>
        </w:rPr>
      </w:pPr>
      <w:r>
        <w:rPr>
          <w:sz w:val="20"/>
        </w:rPr>
      </w:r>
      <w:r>
        <w:rPr>
          <w:sz w:val="20"/>
        </w:rPr>
        <w:pict w14:anchorId="613FA278">
          <v:shape id="_x0000_s1068" type="#_x0000_t202" style="width:551.55pt;height:13pt;mso-left-percent:-10001;mso-top-percent:-10001;mso-position-horizontal:absolute;mso-position-horizontal-relative:char;mso-position-vertical:absolute;mso-position-vertical-relative:line;mso-left-percent:-10001;mso-top-percent:-10001" fillcolor="#bfbfbf" strokeweight=".84pt">
            <v:textbox inset="0,0,0,0">
              <w:txbxContent>
                <w:p w14:paraId="0B666189" w14:textId="77777777" w:rsidR="00C45C92" w:rsidRDefault="002C3844">
                  <w:pPr>
                    <w:spacing w:before="18"/>
                    <w:ind w:left="26"/>
                    <w:rPr>
                      <w:b/>
                      <w:sz w:val="18"/>
                    </w:rPr>
                  </w:pPr>
                  <w:r>
                    <w:rPr>
                      <w:b/>
                      <w:sz w:val="18"/>
                    </w:rPr>
                    <w:t>Objectives and Investment Policy</w:t>
                  </w:r>
                </w:p>
              </w:txbxContent>
            </v:textbox>
            <w10:anchorlock/>
          </v:shape>
        </w:pict>
      </w:r>
    </w:p>
    <w:p w14:paraId="2E569C46" w14:textId="77777777" w:rsidR="00C45C92" w:rsidRDefault="00C45C92">
      <w:pPr>
        <w:rPr>
          <w:sz w:val="20"/>
        </w:rPr>
        <w:sectPr w:rsidR="00C45C92">
          <w:type w:val="continuous"/>
          <w:pgSz w:w="11910" w:h="16840"/>
          <w:pgMar w:top="580" w:right="360" w:bottom="280" w:left="280" w:header="720" w:footer="720" w:gutter="0"/>
          <w:cols w:space="720"/>
        </w:sectPr>
      </w:pPr>
    </w:p>
    <w:p w14:paraId="4BB5FD59" w14:textId="5ED08B26" w:rsidR="00C45C92" w:rsidRPr="00FD5C4B" w:rsidRDefault="00A70DBB" w:rsidP="00A70DBB">
      <w:pPr>
        <w:pStyle w:val="BodyText"/>
        <w:spacing w:before="82" w:line="276" w:lineRule="auto"/>
        <w:ind w:left="154" w:right="39" w:hanging="12"/>
        <w:jc w:val="both"/>
        <w:rPr>
          <w:sz w:val="15"/>
          <w:szCs w:val="15"/>
        </w:rPr>
      </w:pPr>
      <w:bookmarkStart w:id="2" w:name="_Hlk43229411"/>
      <w:r>
        <w:rPr>
          <w:w w:val="105"/>
          <w:sz w:val="15"/>
          <w:szCs w:val="15"/>
        </w:rPr>
        <w:t xml:space="preserve">The </w:t>
      </w:r>
      <w:r w:rsidR="002C3844" w:rsidRPr="000B4F8F">
        <w:rPr>
          <w:w w:val="105"/>
          <w:sz w:val="15"/>
          <w:szCs w:val="15"/>
        </w:rPr>
        <w:t xml:space="preserve">investment </w:t>
      </w:r>
      <w:r w:rsidR="002C3844" w:rsidRPr="00FD5C4B">
        <w:rPr>
          <w:w w:val="105"/>
          <w:sz w:val="15"/>
          <w:szCs w:val="15"/>
        </w:rPr>
        <w:t xml:space="preserve">objective of the Fund is to provide a market neutral portfolio with a focus on resource-efficiency and to outperform the </w:t>
      </w:r>
      <w:r w:rsidRPr="00FD5C4B">
        <w:rPr>
          <w:w w:val="105"/>
          <w:sz w:val="15"/>
          <w:szCs w:val="15"/>
        </w:rPr>
        <w:t>US Fed Funds Effective (FEDL01 Index)</w:t>
      </w:r>
      <w:r w:rsidR="002C3844" w:rsidRPr="00FD5C4B">
        <w:rPr>
          <w:w w:val="105"/>
          <w:sz w:val="15"/>
          <w:szCs w:val="15"/>
        </w:rPr>
        <w:t xml:space="preserve"> (the "Benchmark"). The Investment Manager is free to choose how the assets of the Fund are invested within the limits of the Fund’s investment policy and will seek to structure the portfolio of the Fund so that it has an anticipated long / short ratio of 150 /150.</w:t>
      </w:r>
    </w:p>
    <w:p w14:paraId="1FC529F5" w14:textId="77777777" w:rsidR="00C45C92" w:rsidRPr="00FD5C4B" w:rsidRDefault="00C45C92">
      <w:pPr>
        <w:pStyle w:val="BodyText"/>
        <w:spacing w:before="10"/>
        <w:rPr>
          <w:sz w:val="15"/>
          <w:szCs w:val="15"/>
        </w:rPr>
      </w:pPr>
    </w:p>
    <w:p w14:paraId="69E761AF" w14:textId="77777777" w:rsidR="00C45C92" w:rsidRPr="00FD5C4B" w:rsidRDefault="002C3844">
      <w:pPr>
        <w:pStyle w:val="BodyText"/>
        <w:spacing w:line="276" w:lineRule="auto"/>
        <w:ind w:left="154" w:right="38"/>
        <w:jc w:val="both"/>
        <w:rPr>
          <w:sz w:val="15"/>
          <w:szCs w:val="15"/>
        </w:rPr>
      </w:pPr>
      <w:r w:rsidRPr="00FD5C4B">
        <w:rPr>
          <w:w w:val="105"/>
          <w:sz w:val="15"/>
          <w:szCs w:val="15"/>
        </w:rPr>
        <w:t>The Fund will primarily invest and gain exposure to equity or equity-related securities including common stock, preference and convertible preference shares, American depositary receipts and global depository receipts, warrants and rights. All companies in which the Fund may gain exposure to must be constituents of the MSCI Developed World Index. The Fund may gain exposure to equity or equity-related securities either directly or through the use Financial Derivatives ("FDIs"), in particular, total return</w:t>
      </w:r>
      <w:r w:rsidRPr="00FD5C4B">
        <w:rPr>
          <w:spacing w:val="-10"/>
          <w:w w:val="105"/>
          <w:sz w:val="15"/>
          <w:szCs w:val="15"/>
        </w:rPr>
        <w:t xml:space="preserve"> </w:t>
      </w:r>
      <w:r w:rsidRPr="00FD5C4B">
        <w:rPr>
          <w:w w:val="105"/>
          <w:sz w:val="15"/>
          <w:szCs w:val="15"/>
        </w:rPr>
        <w:t>swaps.</w:t>
      </w:r>
    </w:p>
    <w:p w14:paraId="6C9B73ED" w14:textId="77777777" w:rsidR="00C45C92" w:rsidRPr="00FD5C4B" w:rsidRDefault="00C45C92">
      <w:pPr>
        <w:pStyle w:val="BodyText"/>
        <w:spacing w:before="10"/>
        <w:rPr>
          <w:sz w:val="15"/>
          <w:szCs w:val="15"/>
        </w:rPr>
      </w:pPr>
    </w:p>
    <w:p w14:paraId="22BB46E2" w14:textId="77777777" w:rsidR="00C45C92" w:rsidRPr="00FD5C4B" w:rsidRDefault="002C3844">
      <w:pPr>
        <w:pStyle w:val="BodyText"/>
        <w:spacing w:line="276" w:lineRule="auto"/>
        <w:ind w:left="154" w:right="41"/>
        <w:jc w:val="both"/>
        <w:rPr>
          <w:sz w:val="15"/>
          <w:szCs w:val="15"/>
        </w:rPr>
      </w:pPr>
      <w:r w:rsidRPr="00FD5C4B">
        <w:rPr>
          <w:w w:val="105"/>
          <w:sz w:val="15"/>
          <w:szCs w:val="15"/>
        </w:rPr>
        <w:t>The</w:t>
      </w:r>
      <w:r w:rsidRPr="00FD5C4B">
        <w:rPr>
          <w:spacing w:val="-7"/>
          <w:w w:val="105"/>
          <w:sz w:val="15"/>
          <w:szCs w:val="15"/>
        </w:rPr>
        <w:t xml:space="preserve"> </w:t>
      </w:r>
      <w:r w:rsidRPr="00FD5C4B">
        <w:rPr>
          <w:w w:val="105"/>
          <w:sz w:val="15"/>
          <w:szCs w:val="15"/>
        </w:rPr>
        <w:t>Fund</w:t>
      </w:r>
      <w:r w:rsidRPr="00FD5C4B">
        <w:rPr>
          <w:spacing w:val="-6"/>
          <w:w w:val="105"/>
          <w:sz w:val="15"/>
          <w:szCs w:val="15"/>
        </w:rPr>
        <w:t xml:space="preserve"> </w:t>
      </w:r>
      <w:r w:rsidRPr="00FD5C4B">
        <w:rPr>
          <w:w w:val="105"/>
          <w:sz w:val="15"/>
          <w:szCs w:val="15"/>
        </w:rPr>
        <w:t>may</w:t>
      </w:r>
      <w:r w:rsidRPr="00FD5C4B">
        <w:rPr>
          <w:spacing w:val="-6"/>
          <w:w w:val="105"/>
          <w:sz w:val="15"/>
          <w:szCs w:val="15"/>
        </w:rPr>
        <w:t xml:space="preserve"> </w:t>
      </w:r>
      <w:r w:rsidRPr="00FD5C4B">
        <w:rPr>
          <w:w w:val="105"/>
          <w:sz w:val="15"/>
          <w:szCs w:val="15"/>
        </w:rPr>
        <w:t>invest</w:t>
      </w:r>
      <w:r w:rsidRPr="00FD5C4B">
        <w:rPr>
          <w:spacing w:val="-6"/>
          <w:w w:val="105"/>
          <w:sz w:val="15"/>
          <w:szCs w:val="15"/>
        </w:rPr>
        <w:t xml:space="preserve"> </w:t>
      </w:r>
      <w:r w:rsidRPr="00FD5C4B">
        <w:rPr>
          <w:w w:val="105"/>
          <w:sz w:val="15"/>
          <w:szCs w:val="15"/>
        </w:rPr>
        <w:t>principally</w:t>
      </w:r>
      <w:r w:rsidRPr="00FD5C4B">
        <w:rPr>
          <w:spacing w:val="-6"/>
          <w:w w:val="105"/>
          <w:sz w:val="15"/>
          <w:szCs w:val="15"/>
        </w:rPr>
        <w:t xml:space="preserve"> </w:t>
      </w:r>
      <w:r w:rsidRPr="00FD5C4B">
        <w:rPr>
          <w:w w:val="105"/>
          <w:sz w:val="15"/>
          <w:szCs w:val="15"/>
        </w:rPr>
        <w:t>in</w:t>
      </w:r>
      <w:r w:rsidRPr="00FD5C4B">
        <w:rPr>
          <w:spacing w:val="-6"/>
          <w:w w:val="105"/>
          <w:sz w:val="15"/>
          <w:szCs w:val="15"/>
        </w:rPr>
        <w:t xml:space="preserve"> </w:t>
      </w:r>
      <w:r w:rsidRPr="00FD5C4B">
        <w:rPr>
          <w:w w:val="105"/>
          <w:sz w:val="15"/>
          <w:szCs w:val="15"/>
        </w:rPr>
        <w:t>FDIs</w:t>
      </w:r>
      <w:r w:rsidRPr="00FD5C4B">
        <w:rPr>
          <w:spacing w:val="-6"/>
          <w:w w:val="105"/>
          <w:sz w:val="15"/>
          <w:szCs w:val="15"/>
        </w:rPr>
        <w:t xml:space="preserve"> </w:t>
      </w:r>
      <w:r w:rsidRPr="00FD5C4B">
        <w:rPr>
          <w:w w:val="105"/>
          <w:sz w:val="15"/>
          <w:szCs w:val="15"/>
        </w:rPr>
        <w:t>for</w:t>
      </w:r>
      <w:r w:rsidRPr="00FD5C4B">
        <w:rPr>
          <w:spacing w:val="-6"/>
          <w:w w:val="105"/>
          <w:sz w:val="15"/>
          <w:szCs w:val="15"/>
        </w:rPr>
        <w:t xml:space="preserve"> </w:t>
      </w:r>
      <w:r w:rsidRPr="00FD5C4B">
        <w:rPr>
          <w:w w:val="105"/>
          <w:sz w:val="15"/>
          <w:szCs w:val="15"/>
        </w:rPr>
        <w:t>investment</w:t>
      </w:r>
      <w:r w:rsidRPr="00FD5C4B">
        <w:rPr>
          <w:spacing w:val="-6"/>
          <w:w w:val="105"/>
          <w:sz w:val="15"/>
          <w:szCs w:val="15"/>
        </w:rPr>
        <w:t xml:space="preserve"> </w:t>
      </w:r>
      <w:r w:rsidRPr="00FD5C4B">
        <w:rPr>
          <w:w w:val="105"/>
          <w:sz w:val="15"/>
          <w:szCs w:val="15"/>
        </w:rPr>
        <w:t>purposes</w:t>
      </w:r>
      <w:r w:rsidRPr="00FD5C4B">
        <w:rPr>
          <w:spacing w:val="-5"/>
          <w:w w:val="105"/>
          <w:sz w:val="15"/>
          <w:szCs w:val="15"/>
        </w:rPr>
        <w:t xml:space="preserve"> </w:t>
      </w:r>
      <w:r w:rsidRPr="00FD5C4B">
        <w:rPr>
          <w:w w:val="105"/>
          <w:sz w:val="15"/>
          <w:szCs w:val="15"/>
        </w:rPr>
        <w:t>and/or</w:t>
      </w:r>
      <w:r w:rsidRPr="00FD5C4B">
        <w:rPr>
          <w:spacing w:val="-6"/>
          <w:w w:val="105"/>
          <w:sz w:val="15"/>
          <w:szCs w:val="15"/>
        </w:rPr>
        <w:t xml:space="preserve"> </w:t>
      </w:r>
      <w:r w:rsidRPr="00FD5C4B">
        <w:rPr>
          <w:w w:val="105"/>
          <w:sz w:val="15"/>
          <w:szCs w:val="15"/>
        </w:rPr>
        <w:t>efficient portfolio management, including for hedging purposes. Leverage will be generated by the fund through the leverage inherent in some FDI. For hedging purposes, the Fund may use FDIs to hedge against fluctuations in the relative values of its portfolio positions (denominated in a currency other than the base currency) as against the base currency of the</w:t>
      </w:r>
      <w:r w:rsidRPr="00FD5C4B">
        <w:rPr>
          <w:spacing w:val="-11"/>
          <w:w w:val="105"/>
          <w:sz w:val="15"/>
          <w:szCs w:val="15"/>
        </w:rPr>
        <w:t xml:space="preserve"> </w:t>
      </w:r>
      <w:r w:rsidRPr="00FD5C4B">
        <w:rPr>
          <w:w w:val="105"/>
          <w:sz w:val="15"/>
          <w:szCs w:val="15"/>
        </w:rPr>
        <w:t>Fund.</w:t>
      </w:r>
    </w:p>
    <w:p w14:paraId="059B0247" w14:textId="77777777" w:rsidR="00C45C92" w:rsidRPr="00FD5C4B" w:rsidRDefault="00C45C92">
      <w:pPr>
        <w:pStyle w:val="BodyText"/>
        <w:spacing w:before="10"/>
        <w:rPr>
          <w:sz w:val="15"/>
          <w:szCs w:val="15"/>
        </w:rPr>
      </w:pPr>
    </w:p>
    <w:p w14:paraId="26B31DC9" w14:textId="2119833F" w:rsidR="00C45C92" w:rsidRDefault="002C3844">
      <w:pPr>
        <w:pStyle w:val="BodyText"/>
        <w:spacing w:line="276" w:lineRule="auto"/>
        <w:ind w:left="154" w:right="40"/>
        <w:jc w:val="both"/>
        <w:rPr>
          <w:w w:val="105"/>
          <w:sz w:val="15"/>
          <w:szCs w:val="15"/>
        </w:rPr>
      </w:pPr>
      <w:r w:rsidRPr="00FD5C4B">
        <w:rPr>
          <w:w w:val="105"/>
          <w:sz w:val="15"/>
          <w:szCs w:val="15"/>
        </w:rPr>
        <w:t>The Fund by virtue of the use of FDI, may at any one time have significant cash balances to invest, which may be invested in cash, cash equivalents or other ancillary liquid assets such as money market funds, money market instruments (e.g. commercial paper, certificates of deposit and cash deposits). The Fund may also invest up to 10% of its net asset value in collective investment schemes, including money market funds and open-ended exchange traded</w:t>
      </w:r>
    </w:p>
    <w:p w14:paraId="6ACCBA3C" w14:textId="77777777" w:rsidR="00896A48" w:rsidRPr="00FD5C4B" w:rsidRDefault="00896A48">
      <w:pPr>
        <w:pStyle w:val="BodyText"/>
        <w:spacing w:line="276" w:lineRule="auto"/>
        <w:ind w:left="154" w:right="40"/>
        <w:jc w:val="both"/>
        <w:rPr>
          <w:w w:val="105"/>
          <w:sz w:val="15"/>
          <w:szCs w:val="15"/>
        </w:rPr>
      </w:pPr>
    </w:p>
    <w:bookmarkEnd w:id="2"/>
    <w:p w14:paraId="73F309B0" w14:textId="7CF8CCBB" w:rsidR="002C3844" w:rsidRPr="00FD5C4B" w:rsidRDefault="002C3844">
      <w:pPr>
        <w:pStyle w:val="BodyText"/>
        <w:spacing w:line="276" w:lineRule="auto"/>
        <w:ind w:left="154" w:right="40"/>
        <w:jc w:val="both"/>
        <w:rPr>
          <w:w w:val="105"/>
          <w:sz w:val="15"/>
          <w:szCs w:val="15"/>
        </w:rPr>
      </w:pPr>
    </w:p>
    <w:p w14:paraId="74ADB1F3" w14:textId="29DAB554" w:rsidR="000B4F8F" w:rsidRPr="00FD5C4B" w:rsidRDefault="000B4F8F" w:rsidP="00B4356C">
      <w:pPr>
        <w:pStyle w:val="BodyText"/>
        <w:spacing w:before="82" w:line="276" w:lineRule="auto"/>
        <w:ind w:left="154" w:right="135"/>
        <w:jc w:val="both"/>
        <w:rPr>
          <w:w w:val="105"/>
          <w:sz w:val="15"/>
          <w:szCs w:val="15"/>
        </w:rPr>
      </w:pPr>
      <w:r w:rsidRPr="00FD5C4B">
        <w:rPr>
          <w:w w:val="105"/>
          <w:sz w:val="15"/>
          <w:szCs w:val="15"/>
        </w:rPr>
        <w:t>The Fund may invest up to 10% of its net asset value in unlisted securities and up to 10% of its net assets in recently issued securities which are expected to be listed on a Recognised Exchange within a year.</w:t>
      </w:r>
    </w:p>
    <w:p w14:paraId="466B1A20" w14:textId="77777777" w:rsidR="00B4356C" w:rsidRPr="00FD5C4B" w:rsidRDefault="00B4356C" w:rsidP="000B4F8F">
      <w:pPr>
        <w:pStyle w:val="BodyText"/>
        <w:spacing w:before="82" w:line="276" w:lineRule="auto"/>
        <w:ind w:right="135"/>
        <w:jc w:val="both"/>
        <w:rPr>
          <w:sz w:val="15"/>
          <w:szCs w:val="15"/>
        </w:rPr>
      </w:pPr>
    </w:p>
    <w:p w14:paraId="3B918441" w14:textId="16B2CAA2" w:rsidR="000B4F8F" w:rsidRPr="00896A48" w:rsidRDefault="000B4F8F" w:rsidP="00896A48">
      <w:pPr>
        <w:pStyle w:val="BodyText"/>
        <w:spacing w:line="276" w:lineRule="auto"/>
        <w:ind w:left="154" w:right="136"/>
        <w:jc w:val="both"/>
        <w:rPr>
          <w:w w:val="105"/>
          <w:sz w:val="15"/>
          <w:szCs w:val="15"/>
        </w:rPr>
      </w:pPr>
      <w:r w:rsidRPr="00FD5C4B">
        <w:rPr>
          <w:w w:val="105"/>
          <w:sz w:val="15"/>
          <w:szCs w:val="15"/>
        </w:rPr>
        <w:t>The Investment Manager selects stocks of companies using the Osmosis Model of Resource Efficiency (the “</w:t>
      </w:r>
      <w:proofErr w:type="spellStart"/>
      <w:r w:rsidRPr="00FD5C4B">
        <w:rPr>
          <w:w w:val="105"/>
          <w:sz w:val="15"/>
          <w:szCs w:val="15"/>
        </w:rPr>
        <w:t>MoRE</w:t>
      </w:r>
      <w:proofErr w:type="spellEnd"/>
      <w:r w:rsidRPr="00FD5C4B">
        <w:rPr>
          <w:w w:val="105"/>
          <w:sz w:val="15"/>
          <w:szCs w:val="15"/>
        </w:rPr>
        <w:t xml:space="preserve"> Model”). The </w:t>
      </w:r>
      <w:proofErr w:type="spellStart"/>
      <w:r w:rsidRPr="00FD5C4B">
        <w:rPr>
          <w:w w:val="105"/>
          <w:sz w:val="15"/>
          <w:szCs w:val="15"/>
        </w:rPr>
        <w:t>MoRE</w:t>
      </w:r>
      <w:proofErr w:type="spellEnd"/>
      <w:r w:rsidRPr="00FD5C4B">
        <w:rPr>
          <w:w w:val="105"/>
          <w:sz w:val="15"/>
          <w:szCs w:val="15"/>
        </w:rPr>
        <w:t xml:space="preserve"> Model has been developed by the Investment Manager to rate companies on resource efficiency by compiling information on energy, waste and water. The Fund has a global investment strategy, with no particular target in relation to any industrial, geographic or other market</w:t>
      </w:r>
      <w:r w:rsidRPr="00FD5C4B">
        <w:rPr>
          <w:spacing w:val="-5"/>
          <w:w w:val="105"/>
          <w:sz w:val="15"/>
          <w:szCs w:val="15"/>
        </w:rPr>
        <w:t xml:space="preserve"> </w:t>
      </w:r>
      <w:r w:rsidRPr="00FD5C4B">
        <w:rPr>
          <w:w w:val="105"/>
          <w:sz w:val="15"/>
          <w:szCs w:val="15"/>
        </w:rPr>
        <w:t>sectors.</w:t>
      </w:r>
      <w:bookmarkStart w:id="3" w:name="_Hlk43229516"/>
      <w:r w:rsidR="00896A48">
        <w:rPr>
          <w:w w:val="105"/>
          <w:sz w:val="15"/>
          <w:szCs w:val="15"/>
        </w:rPr>
        <w:t xml:space="preserve"> </w:t>
      </w:r>
      <w:r w:rsidRPr="00FD5C4B">
        <w:rPr>
          <w:sz w:val="15"/>
          <w:szCs w:val="15"/>
        </w:rPr>
        <w:t xml:space="preserve">This Fund is actively managed </w:t>
      </w:r>
      <w:r w:rsidR="00747805" w:rsidRPr="00FD5C4B">
        <w:rPr>
          <w:sz w:val="15"/>
          <w:szCs w:val="15"/>
        </w:rPr>
        <w:t>with reference to the Benchmark by virtue of the fact that the investment objective of the Fund is to outperform the Benchmark. The Investment Manager has discretion and is expected to invest in securities not included in the Benchmark in order to take advantage of investment opportunities. The Fund's investment strategy and the Fund's holdings may result in deviation from the Benchmark and this deviation may be material.</w:t>
      </w:r>
    </w:p>
    <w:p w14:paraId="1BD1CBD0" w14:textId="77777777" w:rsidR="00C45C92" w:rsidRPr="00FD5C4B" w:rsidRDefault="00C45C92">
      <w:pPr>
        <w:pStyle w:val="BodyText"/>
        <w:spacing w:before="9"/>
        <w:rPr>
          <w:sz w:val="15"/>
          <w:szCs w:val="15"/>
        </w:rPr>
      </w:pPr>
    </w:p>
    <w:p w14:paraId="5A84A9A7" w14:textId="77777777" w:rsidR="00C45C92" w:rsidRPr="00FD5C4B" w:rsidRDefault="002C3844">
      <w:pPr>
        <w:pStyle w:val="BodyText"/>
        <w:spacing w:line="276" w:lineRule="auto"/>
        <w:ind w:left="154" w:right="135"/>
        <w:jc w:val="both"/>
        <w:rPr>
          <w:sz w:val="15"/>
          <w:szCs w:val="15"/>
        </w:rPr>
      </w:pPr>
      <w:r w:rsidRPr="00FD5C4B">
        <w:rPr>
          <w:w w:val="105"/>
          <w:sz w:val="15"/>
          <w:szCs w:val="15"/>
        </w:rPr>
        <w:t>Portfolio transaction costs may have an impact on the Fund’s performance. Portfolio transaction costs are paid out of the assets of the Fund, in addition to the charges set out below.</w:t>
      </w:r>
    </w:p>
    <w:p w14:paraId="2E6D4343" w14:textId="77777777" w:rsidR="00C45C92" w:rsidRPr="00FD5C4B" w:rsidRDefault="00C45C92">
      <w:pPr>
        <w:pStyle w:val="BodyText"/>
        <w:rPr>
          <w:sz w:val="15"/>
          <w:szCs w:val="15"/>
        </w:rPr>
      </w:pPr>
    </w:p>
    <w:p w14:paraId="30BA21C8" w14:textId="77777777" w:rsidR="00C45C92" w:rsidRPr="00FD5C4B" w:rsidRDefault="002C3844">
      <w:pPr>
        <w:pStyle w:val="BodyText"/>
        <w:spacing w:line="276" w:lineRule="auto"/>
        <w:ind w:left="154" w:right="137"/>
        <w:jc w:val="both"/>
        <w:rPr>
          <w:sz w:val="15"/>
          <w:szCs w:val="15"/>
        </w:rPr>
      </w:pPr>
      <w:r w:rsidRPr="00FD5C4B">
        <w:rPr>
          <w:w w:val="105"/>
          <w:sz w:val="15"/>
          <w:szCs w:val="15"/>
        </w:rPr>
        <w:t>The Fund’s performance is measured against the Benchmark. Any income arising from the Fund will be reinvested and it is not intended that the Fund will pay dividends. The Fund’s base currency is US dollars.</w:t>
      </w:r>
    </w:p>
    <w:p w14:paraId="6FAEB139" w14:textId="77777777" w:rsidR="00C45C92" w:rsidRPr="00FD5C4B" w:rsidRDefault="00C45C92">
      <w:pPr>
        <w:pStyle w:val="BodyText"/>
        <w:rPr>
          <w:sz w:val="15"/>
          <w:szCs w:val="15"/>
        </w:rPr>
      </w:pPr>
    </w:p>
    <w:p w14:paraId="1BD1C10F" w14:textId="1A3805AD" w:rsidR="00C45C92" w:rsidRPr="000B4F8F" w:rsidRDefault="002C3844">
      <w:pPr>
        <w:pStyle w:val="BodyText"/>
        <w:spacing w:line="276" w:lineRule="auto"/>
        <w:ind w:left="154" w:right="134"/>
        <w:jc w:val="both"/>
        <w:rPr>
          <w:sz w:val="15"/>
          <w:szCs w:val="15"/>
        </w:rPr>
      </w:pPr>
      <w:r w:rsidRPr="00FD5C4B">
        <w:rPr>
          <w:w w:val="105"/>
          <w:sz w:val="15"/>
          <w:szCs w:val="15"/>
        </w:rPr>
        <w:t>You may buy and sell shares in the Fund</w:t>
      </w:r>
      <w:r w:rsidRPr="000B4F8F">
        <w:rPr>
          <w:w w:val="105"/>
          <w:sz w:val="15"/>
          <w:szCs w:val="15"/>
        </w:rPr>
        <w:t xml:space="preserve"> on any </w:t>
      </w:r>
      <w:r w:rsidR="00FD5C4B">
        <w:rPr>
          <w:w w:val="105"/>
          <w:sz w:val="15"/>
          <w:szCs w:val="15"/>
        </w:rPr>
        <w:t>Business Day</w:t>
      </w:r>
      <w:r w:rsidRPr="000B4F8F">
        <w:rPr>
          <w:w w:val="105"/>
          <w:sz w:val="15"/>
          <w:szCs w:val="15"/>
        </w:rPr>
        <w:t>.</w:t>
      </w:r>
    </w:p>
    <w:bookmarkEnd w:id="3"/>
    <w:p w14:paraId="58E81EE9" w14:textId="77777777" w:rsidR="00C45C92" w:rsidRPr="000B4F8F" w:rsidRDefault="00C45C92">
      <w:pPr>
        <w:pStyle w:val="BodyText"/>
        <w:spacing w:before="11"/>
        <w:rPr>
          <w:sz w:val="15"/>
          <w:szCs w:val="15"/>
        </w:rPr>
      </w:pPr>
    </w:p>
    <w:p w14:paraId="5BF6AEE7" w14:textId="77777777" w:rsidR="00C45C92" w:rsidRPr="000B4F8F" w:rsidRDefault="002C3844">
      <w:pPr>
        <w:pStyle w:val="BodyText"/>
        <w:spacing w:line="276" w:lineRule="auto"/>
        <w:ind w:left="154" w:right="136"/>
        <w:jc w:val="both"/>
        <w:rPr>
          <w:sz w:val="15"/>
          <w:szCs w:val="15"/>
        </w:rPr>
      </w:pPr>
      <w:r w:rsidRPr="000B4F8F">
        <w:rPr>
          <w:w w:val="105"/>
          <w:sz w:val="15"/>
          <w:szCs w:val="15"/>
        </w:rPr>
        <w:t>Recommendation: This Fund may be appropriate for investors who plan to withdraw their money within 3-5 years. Please refer to the “Investment Objectives and Policies” section of the Prospectus for further information.</w:t>
      </w:r>
    </w:p>
    <w:p w14:paraId="2F1C5BC9" w14:textId="5749795A" w:rsidR="00C45C92" w:rsidRDefault="002C3844" w:rsidP="002C3844">
      <w:pPr>
        <w:pStyle w:val="BodyText"/>
        <w:spacing w:line="276" w:lineRule="auto"/>
        <w:ind w:left="154" w:right="137"/>
        <w:jc w:val="both"/>
        <w:sectPr w:rsidR="00C45C92">
          <w:type w:val="continuous"/>
          <w:pgSz w:w="11910" w:h="16840"/>
          <w:pgMar w:top="580" w:right="360" w:bottom="280" w:left="280" w:header="720" w:footer="720" w:gutter="0"/>
          <w:cols w:num="2" w:space="720" w:equalWidth="0">
            <w:col w:w="5381" w:space="408"/>
            <w:col w:w="5481"/>
          </w:cols>
        </w:sectPr>
      </w:pPr>
      <w:r w:rsidRPr="000B4F8F">
        <w:rPr>
          <w:w w:val="105"/>
          <w:sz w:val="15"/>
          <w:szCs w:val="15"/>
        </w:rPr>
        <w:t>Unless otherwise defined in this document, all words and expressions defined in the Fund's current Prospectus shall have the same meaning</w:t>
      </w:r>
      <w:r w:rsidRPr="000B4F8F">
        <w:rPr>
          <w:spacing w:val="-19"/>
          <w:w w:val="105"/>
          <w:sz w:val="15"/>
          <w:szCs w:val="15"/>
        </w:rPr>
        <w:t xml:space="preserve"> </w:t>
      </w:r>
      <w:r w:rsidRPr="000B4F8F">
        <w:rPr>
          <w:w w:val="105"/>
          <w:sz w:val="15"/>
          <w:szCs w:val="15"/>
        </w:rPr>
        <w:t>herein</w:t>
      </w:r>
      <w:r>
        <w:rPr>
          <w:w w:val="105"/>
        </w:rPr>
        <w:t>.</w:t>
      </w:r>
    </w:p>
    <w:p w14:paraId="27DF04B4" w14:textId="2FBAF001" w:rsidR="00C45C92" w:rsidRDefault="00F91DD5" w:rsidP="002C3844">
      <w:pPr>
        <w:pStyle w:val="BodyText"/>
        <w:rPr>
          <w:sz w:val="20"/>
        </w:rPr>
      </w:pPr>
      <w:r>
        <w:rPr>
          <w:sz w:val="20"/>
        </w:rPr>
      </w:r>
      <w:r>
        <w:rPr>
          <w:sz w:val="20"/>
        </w:rPr>
        <w:pict w14:anchorId="4F4C6351">
          <v:shape id="_x0000_s1067" type="#_x0000_t202" style="width:551.55pt;height:13pt;mso-left-percent:-10001;mso-top-percent:-10001;mso-position-horizontal:absolute;mso-position-horizontal-relative:char;mso-position-vertical:absolute;mso-position-vertical-relative:line;mso-left-percent:-10001;mso-top-percent:-10001" fillcolor="#bfbfbf" strokeweight=".84pt">
            <v:textbox style="mso-next-textbox:#_x0000_s1067" inset="0,0,0,0">
              <w:txbxContent>
                <w:p w14:paraId="408B013A" w14:textId="77777777" w:rsidR="000B4F8F" w:rsidRDefault="000B4F8F" w:rsidP="000B4F8F">
                  <w:pPr>
                    <w:spacing w:before="18"/>
                    <w:ind w:left="26"/>
                    <w:rPr>
                      <w:b/>
                      <w:sz w:val="18"/>
                    </w:rPr>
                  </w:pPr>
                  <w:r>
                    <w:rPr>
                      <w:b/>
                      <w:sz w:val="18"/>
                    </w:rPr>
                    <w:t>Risk and Reward Profile of the Fund</w:t>
                  </w:r>
                </w:p>
              </w:txbxContent>
            </v:textbox>
            <w10:anchorlock/>
          </v:shape>
        </w:pict>
      </w:r>
    </w:p>
    <w:p w14:paraId="31C4456F" w14:textId="77777777" w:rsidR="00C45C92" w:rsidRDefault="00C45C92">
      <w:pPr>
        <w:pStyle w:val="BodyText"/>
        <w:spacing w:before="1"/>
        <w:rPr>
          <w:sz w:val="6"/>
        </w:rPr>
      </w:pPr>
    </w:p>
    <w:p w14:paraId="51A87735" w14:textId="77777777" w:rsidR="00C45C92" w:rsidRDefault="00C45C92">
      <w:pPr>
        <w:rPr>
          <w:sz w:val="6"/>
        </w:rPr>
        <w:sectPr w:rsidR="00C45C92">
          <w:type w:val="continuous"/>
          <w:pgSz w:w="11910" w:h="16840"/>
          <w:pgMar w:top="580" w:right="360" w:bottom="280" w:left="280" w:header="720" w:footer="720" w:gutter="0"/>
          <w:cols w:space="720"/>
        </w:sectPr>
      </w:pPr>
    </w:p>
    <w:p w14:paraId="46F21BD2" w14:textId="77777777" w:rsidR="00C45C92" w:rsidRPr="00D336EC" w:rsidRDefault="002C3844">
      <w:pPr>
        <w:pStyle w:val="Heading1"/>
        <w:tabs>
          <w:tab w:val="left" w:pos="4142"/>
        </w:tabs>
        <w:spacing w:before="68"/>
        <w:rPr>
          <w:sz w:val="15"/>
          <w:szCs w:val="15"/>
        </w:rPr>
      </w:pPr>
      <w:r w:rsidRPr="00D336EC">
        <w:rPr>
          <w:w w:val="105"/>
          <w:sz w:val="15"/>
          <w:szCs w:val="15"/>
        </w:rPr>
        <w:t>Lower</w:t>
      </w:r>
      <w:r w:rsidRPr="00D336EC">
        <w:rPr>
          <w:spacing w:val="-3"/>
          <w:w w:val="105"/>
          <w:sz w:val="15"/>
          <w:szCs w:val="15"/>
        </w:rPr>
        <w:t xml:space="preserve"> </w:t>
      </w:r>
      <w:r w:rsidRPr="00D336EC">
        <w:rPr>
          <w:w w:val="105"/>
          <w:sz w:val="15"/>
          <w:szCs w:val="15"/>
        </w:rPr>
        <w:t>Risk</w:t>
      </w:r>
      <w:r w:rsidRPr="00D336EC">
        <w:rPr>
          <w:w w:val="105"/>
          <w:sz w:val="15"/>
          <w:szCs w:val="15"/>
        </w:rPr>
        <w:tab/>
        <w:t>Higher</w:t>
      </w:r>
      <w:r w:rsidRPr="00D336EC">
        <w:rPr>
          <w:spacing w:val="-14"/>
          <w:w w:val="105"/>
          <w:sz w:val="15"/>
          <w:szCs w:val="15"/>
        </w:rPr>
        <w:t xml:space="preserve"> </w:t>
      </w:r>
      <w:r w:rsidRPr="00D336EC">
        <w:rPr>
          <w:w w:val="105"/>
          <w:sz w:val="15"/>
          <w:szCs w:val="15"/>
        </w:rPr>
        <w:t>Risk</w:t>
      </w:r>
    </w:p>
    <w:p w14:paraId="512232E3" w14:textId="77777777" w:rsidR="00C45C92" w:rsidRPr="00D336EC" w:rsidRDefault="00C45C92">
      <w:pPr>
        <w:pStyle w:val="BodyText"/>
        <w:spacing w:before="11"/>
        <w:rPr>
          <w:b/>
          <w:sz w:val="15"/>
          <w:szCs w:val="15"/>
        </w:rPr>
      </w:pPr>
    </w:p>
    <w:p w14:paraId="28070203" w14:textId="77777777" w:rsidR="00C45C92" w:rsidRPr="00D336EC" w:rsidRDefault="00F91DD5">
      <w:pPr>
        <w:pStyle w:val="BodyText"/>
        <w:spacing w:line="151" w:lineRule="exact"/>
        <w:ind w:left="173"/>
        <w:rPr>
          <w:sz w:val="15"/>
          <w:szCs w:val="15"/>
        </w:rPr>
      </w:pPr>
      <w:r>
        <w:rPr>
          <w:position w:val="-2"/>
          <w:sz w:val="15"/>
          <w:szCs w:val="15"/>
        </w:rPr>
      </w:r>
      <w:r>
        <w:rPr>
          <w:position w:val="-2"/>
          <w:sz w:val="15"/>
          <w:szCs w:val="15"/>
        </w:rPr>
        <w:pict w14:anchorId="24E1FC6C">
          <v:group id="_x0000_s1052" style="width:255.6pt;height:7.6pt;mso-position-horizontal-relative:char;mso-position-vertical-relative:line" coordsize="5112,152">
            <v:shape id="_x0000_s1053" style="position:absolute;width:5112;height:152" coordsize="5112,152" o:spt="100" adj="0,,0" path="m139,r-7,l127,2,,74r127,75l132,151r7,l142,144r4,-5l144,132r-5,-2l66,86r-42,l24,65r42,l139,22r5,-3l146,12,142,7,139,xm5067,76r-92,54l4970,132r-2,7l4970,144r5,7l4982,151r5,-2l5092,86r-6,l5067,76xm29,65r-5,l24,86r5,l29,65xm29,65r,21l47,76,29,65xm47,76l29,86r37,l47,76xm5049,65l66,65,47,76,66,86r4983,l5067,76,5049,65xm5086,65r-19,11l5086,86r,-21xm5090,65r-4,l5086,86r4,l5090,65xm5095,65r-5,l5090,86r2,l5112,74r-17,-9xm66,65r-37,l47,76,66,65xm4982,r-7,l4970,7r-2,5l4970,19r5,3l5067,76r19,-11l5095,65,4987,2,4982,xe" fillcolor="#a5a5a5" stroked="f">
              <v:stroke joinstyle="round"/>
              <v:formulas/>
              <v:path arrowok="t" o:connecttype="segments"/>
            </v:shape>
            <w10:anchorlock/>
          </v:group>
        </w:pict>
      </w:r>
    </w:p>
    <w:p w14:paraId="2FE4F4DF" w14:textId="77777777" w:rsidR="00C45C92" w:rsidRPr="00D336EC" w:rsidRDefault="00C45C92">
      <w:pPr>
        <w:pStyle w:val="BodyText"/>
        <w:rPr>
          <w:b/>
          <w:sz w:val="15"/>
          <w:szCs w:val="15"/>
        </w:rPr>
      </w:pPr>
    </w:p>
    <w:p w14:paraId="7D92E94C" w14:textId="77777777" w:rsidR="00C45C92" w:rsidRPr="00D336EC" w:rsidRDefault="002C3844">
      <w:pPr>
        <w:tabs>
          <w:tab w:val="left" w:pos="3150"/>
        </w:tabs>
        <w:ind w:left="276"/>
        <w:rPr>
          <w:b/>
          <w:sz w:val="15"/>
          <w:szCs w:val="15"/>
        </w:rPr>
      </w:pPr>
      <w:r w:rsidRPr="00D336EC">
        <w:rPr>
          <w:b/>
          <w:w w:val="105"/>
          <w:sz w:val="15"/>
          <w:szCs w:val="15"/>
        </w:rPr>
        <w:t>Typically</w:t>
      </w:r>
      <w:r w:rsidRPr="00D336EC">
        <w:rPr>
          <w:b/>
          <w:spacing w:val="-5"/>
          <w:w w:val="105"/>
          <w:sz w:val="15"/>
          <w:szCs w:val="15"/>
        </w:rPr>
        <w:t xml:space="preserve"> </w:t>
      </w:r>
      <w:r w:rsidRPr="00D336EC">
        <w:rPr>
          <w:b/>
          <w:w w:val="105"/>
          <w:sz w:val="15"/>
          <w:szCs w:val="15"/>
        </w:rPr>
        <w:t>lower</w:t>
      </w:r>
      <w:r w:rsidRPr="00D336EC">
        <w:rPr>
          <w:b/>
          <w:spacing w:val="-4"/>
          <w:w w:val="105"/>
          <w:sz w:val="15"/>
          <w:szCs w:val="15"/>
        </w:rPr>
        <w:t xml:space="preserve"> </w:t>
      </w:r>
      <w:r w:rsidRPr="00D336EC">
        <w:rPr>
          <w:b/>
          <w:w w:val="105"/>
          <w:sz w:val="15"/>
          <w:szCs w:val="15"/>
        </w:rPr>
        <w:t>rewards</w:t>
      </w:r>
      <w:r w:rsidRPr="00D336EC">
        <w:rPr>
          <w:b/>
          <w:w w:val="105"/>
          <w:sz w:val="15"/>
          <w:szCs w:val="15"/>
        </w:rPr>
        <w:tab/>
        <w:t>Typically Higher</w:t>
      </w:r>
      <w:r w:rsidRPr="00D336EC">
        <w:rPr>
          <w:b/>
          <w:spacing w:val="-20"/>
          <w:w w:val="105"/>
          <w:sz w:val="15"/>
          <w:szCs w:val="15"/>
        </w:rPr>
        <w:t xml:space="preserve"> </w:t>
      </w:r>
      <w:r w:rsidRPr="00D336EC">
        <w:rPr>
          <w:b/>
          <w:w w:val="105"/>
          <w:sz w:val="15"/>
          <w:szCs w:val="15"/>
        </w:rPr>
        <w:t>Rewards</w:t>
      </w:r>
    </w:p>
    <w:p w14:paraId="080D0418" w14:textId="77777777" w:rsidR="00C45C92" w:rsidRPr="00D336EC" w:rsidRDefault="00C45C92">
      <w:pPr>
        <w:pStyle w:val="BodyText"/>
        <w:spacing w:before="2"/>
        <w:rPr>
          <w:b/>
          <w:sz w:val="15"/>
          <w:szCs w:val="15"/>
        </w:rPr>
      </w:pP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9"/>
        <w:gridCol w:w="749"/>
        <w:gridCol w:w="749"/>
        <w:gridCol w:w="749"/>
        <w:gridCol w:w="749"/>
        <w:gridCol w:w="749"/>
        <w:gridCol w:w="749"/>
      </w:tblGrid>
      <w:tr w:rsidR="00C45C92" w:rsidRPr="00D336EC" w14:paraId="4FECC7C9" w14:textId="77777777">
        <w:trPr>
          <w:trHeight w:val="380"/>
        </w:trPr>
        <w:tc>
          <w:tcPr>
            <w:tcW w:w="749" w:type="dxa"/>
          </w:tcPr>
          <w:p w14:paraId="7662CD61" w14:textId="77777777" w:rsidR="00C45C92" w:rsidRPr="00D336EC" w:rsidRDefault="002C3844">
            <w:pPr>
              <w:pStyle w:val="TableParagraph"/>
              <w:ind w:left="18"/>
              <w:jc w:val="center"/>
              <w:rPr>
                <w:b/>
                <w:sz w:val="15"/>
                <w:szCs w:val="15"/>
              </w:rPr>
            </w:pPr>
            <w:r w:rsidRPr="00D336EC">
              <w:rPr>
                <w:b/>
                <w:color w:val="7F7F7F"/>
                <w:w w:val="104"/>
                <w:sz w:val="15"/>
                <w:szCs w:val="15"/>
              </w:rPr>
              <w:t>1</w:t>
            </w:r>
          </w:p>
        </w:tc>
        <w:tc>
          <w:tcPr>
            <w:tcW w:w="749" w:type="dxa"/>
          </w:tcPr>
          <w:p w14:paraId="476DF913" w14:textId="77777777" w:rsidR="00C45C92" w:rsidRPr="00D336EC" w:rsidRDefault="002C3844">
            <w:pPr>
              <w:pStyle w:val="TableParagraph"/>
              <w:ind w:left="18"/>
              <w:jc w:val="center"/>
              <w:rPr>
                <w:b/>
                <w:sz w:val="15"/>
                <w:szCs w:val="15"/>
              </w:rPr>
            </w:pPr>
            <w:r w:rsidRPr="00D336EC">
              <w:rPr>
                <w:b/>
                <w:color w:val="7F7F7F"/>
                <w:w w:val="104"/>
                <w:sz w:val="15"/>
                <w:szCs w:val="15"/>
              </w:rPr>
              <w:t>2</w:t>
            </w:r>
          </w:p>
        </w:tc>
        <w:tc>
          <w:tcPr>
            <w:tcW w:w="749" w:type="dxa"/>
          </w:tcPr>
          <w:p w14:paraId="60F92B09" w14:textId="77777777" w:rsidR="00C45C92" w:rsidRPr="00D336EC" w:rsidRDefault="002C3844">
            <w:pPr>
              <w:pStyle w:val="TableParagraph"/>
              <w:ind w:left="17"/>
              <w:jc w:val="center"/>
              <w:rPr>
                <w:b/>
                <w:sz w:val="15"/>
                <w:szCs w:val="15"/>
              </w:rPr>
            </w:pPr>
            <w:r w:rsidRPr="00D336EC">
              <w:rPr>
                <w:b/>
                <w:color w:val="7F7F7F"/>
                <w:w w:val="104"/>
                <w:sz w:val="15"/>
                <w:szCs w:val="15"/>
              </w:rPr>
              <w:t>3</w:t>
            </w:r>
          </w:p>
        </w:tc>
        <w:tc>
          <w:tcPr>
            <w:tcW w:w="749" w:type="dxa"/>
            <w:shd w:val="clear" w:color="auto" w:fill="BFBFBF"/>
          </w:tcPr>
          <w:p w14:paraId="51F4F001" w14:textId="77777777" w:rsidR="00C45C92" w:rsidRPr="00D336EC" w:rsidRDefault="002C3844">
            <w:pPr>
              <w:pStyle w:val="TableParagraph"/>
              <w:ind w:left="17"/>
              <w:jc w:val="center"/>
              <w:rPr>
                <w:b/>
                <w:sz w:val="15"/>
                <w:szCs w:val="15"/>
              </w:rPr>
            </w:pPr>
            <w:r w:rsidRPr="00D336EC">
              <w:rPr>
                <w:b/>
                <w:w w:val="104"/>
                <w:sz w:val="15"/>
                <w:szCs w:val="15"/>
              </w:rPr>
              <w:t>4</w:t>
            </w:r>
          </w:p>
        </w:tc>
        <w:tc>
          <w:tcPr>
            <w:tcW w:w="749" w:type="dxa"/>
          </w:tcPr>
          <w:p w14:paraId="3CA83A3E" w14:textId="77777777" w:rsidR="00C45C92" w:rsidRPr="00D336EC" w:rsidRDefault="002C3844">
            <w:pPr>
              <w:pStyle w:val="TableParagraph"/>
              <w:ind w:left="17"/>
              <w:jc w:val="center"/>
              <w:rPr>
                <w:b/>
                <w:sz w:val="15"/>
                <w:szCs w:val="15"/>
              </w:rPr>
            </w:pPr>
            <w:r w:rsidRPr="00D336EC">
              <w:rPr>
                <w:b/>
                <w:color w:val="7F7F7F"/>
                <w:w w:val="104"/>
                <w:sz w:val="15"/>
                <w:szCs w:val="15"/>
              </w:rPr>
              <w:t>5</w:t>
            </w:r>
          </w:p>
        </w:tc>
        <w:tc>
          <w:tcPr>
            <w:tcW w:w="749" w:type="dxa"/>
          </w:tcPr>
          <w:p w14:paraId="1CCF3B3C" w14:textId="77777777" w:rsidR="00C45C92" w:rsidRPr="00D336EC" w:rsidRDefault="002C3844">
            <w:pPr>
              <w:pStyle w:val="TableParagraph"/>
              <w:ind w:left="16"/>
              <w:jc w:val="center"/>
              <w:rPr>
                <w:b/>
                <w:sz w:val="15"/>
                <w:szCs w:val="15"/>
              </w:rPr>
            </w:pPr>
            <w:r w:rsidRPr="00D336EC">
              <w:rPr>
                <w:b/>
                <w:color w:val="7F7F7F"/>
                <w:w w:val="104"/>
                <w:sz w:val="15"/>
                <w:szCs w:val="15"/>
              </w:rPr>
              <w:t>6</w:t>
            </w:r>
          </w:p>
        </w:tc>
        <w:tc>
          <w:tcPr>
            <w:tcW w:w="749" w:type="dxa"/>
          </w:tcPr>
          <w:p w14:paraId="5520370D" w14:textId="77777777" w:rsidR="00C45C92" w:rsidRPr="00D336EC" w:rsidRDefault="002C3844">
            <w:pPr>
              <w:pStyle w:val="TableParagraph"/>
              <w:ind w:left="16"/>
              <w:jc w:val="center"/>
              <w:rPr>
                <w:b/>
                <w:sz w:val="15"/>
                <w:szCs w:val="15"/>
              </w:rPr>
            </w:pPr>
            <w:r w:rsidRPr="00D336EC">
              <w:rPr>
                <w:b/>
                <w:color w:val="7F7F7F"/>
                <w:w w:val="104"/>
                <w:sz w:val="15"/>
                <w:szCs w:val="15"/>
              </w:rPr>
              <w:t>7</w:t>
            </w:r>
          </w:p>
        </w:tc>
      </w:tr>
    </w:tbl>
    <w:p w14:paraId="49B95099" w14:textId="77777777" w:rsidR="00C45C92" w:rsidRPr="00D336EC" w:rsidRDefault="00C45C92">
      <w:pPr>
        <w:pStyle w:val="BodyText"/>
        <w:spacing w:before="4"/>
        <w:rPr>
          <w:b/>
          <w:sz w:val="15"/>
          <w:szCs w:val="15"/>
        </w:rPr>
      </w:pPr>
    </w:p>
    <w:p w14:paraId="6555CA9B" w14:textId="77777777" w:rsidR="00C45C92" w:rsidRPr="00D336EC" w:rsidRDefault="002C3844">
      <w:pPr>
        <w:pStyle w:val="BodyText"/>
        <w:spacing w:before="1" w:line="276" w:lineRule="auto"/>
        <w:ind w:left="154" w:right="54"/>
        <w:rPr>
          <w:sz w:val="15"/>
          <w:szCs w:val="15"/>
        </w:rPr>
      </w:pPr>
      <w:r w:rsidRPr="00D336EC">
        <w:rPr>
          <w:w w:val="105"/>
          <w:sz w:val="15"/>
          <w:szCs w:val="15"/>
        </w:rPr>
        <w:t>The indicator above is not a measure of the risk of capital loss, but a measure of the Fund's price movement over</w:t>
      </w:r>
      <w:r w:rsidRPr="00D336EC">
        <w:rPr>
          <w:spacing w:val="-8"/>
          <w:w w:val="105"/>
          <w:sz w:val="15"/>
          <w:szCs w:val="15"/>
        </w:rPr>
        <w:t xml:space="preserve"> </w:t>
      </w:r>
      <w:r w:rsidRPr="00D336EC">
        <w:rPr>
          <w:w w:val="105"/>
          <w:sz w:val="15"/>
          <w:szCs w:val="15"/>
        </w:rPr>
        <w:t>time.</w:t>
      </w:r>
    </w:p>
    <w:p w14:paraId="274A9206" w14:textId="77777777" w:rsidR="00C45C92" w:rsidRPr="00D336EC" w:rsidRDefault="00C45C92">
      <w:pPr>
        <w:pStyle w:val="BodyText"/>
        <w:rPr>
          <w:sz w:val="15"/>
          <w:szCs w:val="15"/>
        </w:rPr>
      </w:pPr>
    </w:p>
    <w:p w14:paraId="4B313E09" w14:textId="73B0180F" w:rsidR="00C45C92" w:rsidRPr="00896A48" w:rsidRDefault="002C3844" w:rsidP="00896A48">
      <w:pPr>
        <w:pStyle w:val="ListParagraph"/>
        <w:numPr>
          <w:ilvl w:val="0"/>
          <w:numId w:val="1"/>
        </w:numPr>
        <w:tabs>
          <w:tab w:val="left" w:pos="256"/>
        </w:tabs>
        <w:spacing w:line="276" w:lineRule="auto"/>
        <w:ind w:right="40" w:firstLine="0"/>
        <w:rPr>
          <w:sz w:val="15"/>
          <w:szCs w:val="15"/>
        </w:rPr>
      </w:pPr>
      <w:r w:rsidRPr="00D336EC">
        <w:rPr>
          <w:w w:val="105"/>
          <w:sz w:val="15"/>
          <w:szCs w:val="15"/>
        </w:rPr>
        <w:t>It is based on historical data and thus may not be a reliable indication for the future.</w:t>
      </w:r>
    </w:p>
    <w:p w14:paraId="3323E2DC" w14:textId="12A2F367" w:rsidR="00C45C92" w:rsidRPr="00896A48" w:rsidRDefault="002C3844" w:rsidP="00896A48">
      <w:pPr>
        <w:pStyle w:val="ListParagraph"/>
        <w:numPr>
          <w:ilvl w:val="0"/>
          <w:numId w:val="1"/>
        </w:numPr>
        <w:tabs>
          <w:tab w:val="left" w:pos="247"/>
        </w:tabs>
        <w:ind w:left="246" w:right="0" w:hanging="93"/>
        <w:rPr>
          <w:sz w:val="15"/>
          <w:szCs w:val="15"/>
        </w:rPr>
      </w:pPr>
      <w:r w:rsidRPr="00D336EC">
        <w:rPr>
          <w:w w:val="105"/>
          <w:sz w:val="15"/>
          <w:szCs w:val="15"/>
        </w:rPr>
        <w:t>The indicated risk category is not guaranteed and may shift over</w:t>
      </w:r>
      <w:r w:rsidRPr="00D336EC">
        <w:rPr>
          <w:spacing w:val="-26"/>
          <w:w w:val="105"/>
          <w:sz w:val="15"/>
          <w:szCs w:val="15"/>
        </w:rPr>
        <w:t xml:space="preserve"> </w:t>
      </w:r>
      <w:r w:rsidRPr="00D336EC">
        <w:rPr>
          <w:w w:val="105"/>
          <w:sz w:val="15"/>
          <w:szCs w:val="15"/>
        </w:rPr>
        <w:t>time.</w:t>
      </w:r>
    </w:p>
    <w:p w14:paraId="0948FB9F" w14:textId="5BB0D77E" w:rsidR="00C45C92" w:rsidRPr="00896A48" w:rsidRDefault="002C3844" w:rsidP="00896A48">
      <w:pPr>
        <w:pStyle w:val="ListParagraph"/>
        <w:numPr>
          <w:ilvl w:val="0"/>
          <w:numId w:val="1"/>
        </w:numPr>
        <w:tabs>
          <w:tab w:val="left" w:pos="256"/>
        </w:tabs>
        <w:spacing w:before="1" w:line="276" w:lineRule="auto"/>
        <w:ind w:right="41" w:firstLine="0"/>
        <w:rPr>
          <w:sz w:val="15"/>
          <w:szCs w:val="15"/>
        </w:rPr>
      </w:pPr>
      <w:r w:rsidRPr="00D336EC">
        <w:rPr>
          <w:w w:val="105"/>
          <w:sz w:val="15"/>
          <w:szCs w:val="15"/>
        </w:rPr>
        <w:t>The indicator is designed to help investors understand the uncertainties both for loss and for growth that may affect their investment. A category 1 fund is</w:t>
      </w:r>
      <w:r w:rsidRPr="00D336EC">
        <w:rPr>
          <w:spacing w:val="40"/>
          <w:w w:val="105"/>
          <w:sz w:val="15"/>
          <w:szCs w:val="15"/>
        </w:rPr>
        <w:t xml:space="preserve"> </w:t>
      </w:r>
      <w:r w:rsidRPr="00D336EC">
        <w:rPr>
          <w:w w:val="105"/>
          <w:sz w:val="15"/>
          <w:szCs w:val="15"/>
        </w:rPr>
        <w:t>not a risk free investment, the risk of loss is small but the chance of making gains may also be limited. With a category 7 fund, the risk of losing money is high but so also is the possibility of making</w:t>
      </w:r>
      <w:r w:rsidRPr="00D336EC">
        <w:rPr>
          <w:spacing w:val="-15"/>
          <w:w w:val="105"/>
          <w:sz w:val="15"/>
          <w:szCs w:val="15"/>
        </w:rPr>
        <w:t xml:space="preserve"> </w:t>
      </w:r>
      <w:r w:rsidRPr="00D336EC">
        <w:rPr>
          <w:w w:val="105"/>
          <w:sz w:val="15"/>
          <w:szCs w:val="15"/>
        </w:rPr>
        <w:t>gains.</w:t>
      </w:r>
    </w:p>
    <w:p w14:paraId="54296904" w14:textId="0162981D" w:rsidR="00C45C92" w:rsidRPr="00896A48" w:rsidRDefault="002C3844" w:rsidP="00896A48">
      <w:pPr>
        <w:pStyle w:val="ListParagraph"/>
        <w:numPr>
          <w:ilvl w:val="0"/>
          <w:numId w:val="1"/>
        </w:numPr>
        <w:tabs>
          <w:tab w:val="left" w:pos="256"/>
        </w:tabs>
        <w:spacing w:line="276" w:lineRule="auto"/>
        <w:ind w:right="43" w:firstLine="0"/>
        <w:rPr>
          <w:sz w:val="15"/>
          <w:szCs w:val="15"/>
        </w:rPr>
      </w:pPr>
      <w:r w:rsidRPr="00D336EC">
        <w:rPr>
          <w:w w:val="105"/>
          <w:sz w:val="15"/>
          <w:szCs w:val="15"/>
        </w:rPr>
        <w:t>The Fund is classified in the category indicated above due to its target asset mix.</w:t>
      </w:r>
    </w:p>
    <w:p w14:paraId="53AE9286" w14:textId="77777777" w:rsidR="00C45C92" w:rsidRPr="00D336EC" w:rsidRDefault="002C3844">
      <w:pPr>
        <w:pStyle w:val="ListParagraph"/>
        <w:numPr>
          <w:ilvl w:val="0"/>
          <w:numId w:val="1"/>
        </w:numPr>
        <w:tabs>
          <w:tab w:val="left" w:pos="258"/>
        </w:tabs>
        <w:spacing w:line="276" w:lineRule="auto"/>
        <w:ind w:right="41" w:firstLine="0"/>
        <w:rPr>
          <w:sz w:val="15"/>
          <w:szCs w:val="15"/>
        </w:rPr>
      </w:pPr>
      <w:r w:rsidRPr="00D336EC">
        <w:rPr>
          <w:w w:val="105"/>
          <w:sz w:val="15"/>
          <w:szCs w:val="15"/>
        </w:rPr>
        <w:t>The Fund does not provide its investors with any guarantee on performance, nor on the monies invested in</w:t>
      </w:r>
      <w:r w:rsidRPr="00D336EC">
        <w:rPr>
          <w:spacing w:val="-8"/>
          <w:w w:val="105"/>
          <w:sz w:val="15"/>
          <w:szCs w:val="15"/>
        </w:rPr>
        <w:t xml:space="preserve"> </w:t>
      </w:r>
      <w:r w:rsidRPr="00D336EC">
        <w:rPr>
          <w:w w:val="105"/>
          <w:sz w:val="15"/>
          <w:szCs w:val="15"/>
        </w:rPr>
        <w:t>it.</w:t>
      </w:r>
    </w:p>
    <w:p w14:paraId="6B37F0E0" w14:textId="77777777" w:rsidR="00C45C92" w:rsidRPr="00D336EC" w:rsidRDefault="00C45C92">
      <w:pPr>
        <w:pStyle w:val="BodyText"/>
        <w:spacing w:before="5"/>
        <w:rPr>
          <w:sz w:val="15"/>
          <w:szCs w:val="15"/>
        </w:rPr>
      </w:pPr>
    </w:p>
    <w:p w14:paraId="133E4453" w14:textId="3E72461C" w:rsidR="002C3844" w:rsidRPr="00D336EC" w:rsidRDefault="002C3844" w:rsidP="00896A48">
      <w:pPr>
        <w:pStyle w:val="Heading1"/>
        <w:spacing w:line="285" w:lineRule="auto"/>
        <w:ind w:left="154" w:right="54"/>
        <w:rPr>
          <w:w w:val="105"/>
          <w:sz w:val="15"/>
          <w:szCs w:val="15"/>
        </w:rPr>
      </w:pPr>
      <w:r w:rsidRPr="00D336EC">
        <w:rPr>
          <w:w w:val="105"/>
          <w:sz w:val="15"/>
          <w:szCs w:val="15"/>
        </w:rPr>
        <w:t>In addition to the risk captured by the indicator, the overall Fund value may be considerably affected by</w:t>
      </w:r>
    </w:p>
    <w:p w14:paraId="09722875" w14:textId="77777777" w:rsidR="00AE5035" w:rsidRPr="00D336EC" w:rsidRDefault="00AE5035" w:rsidP="00AE5035">
      <w:pPr>
        <w:pStyle w:val="ListParagraph"/>
        <w:numPr>
          <w:ilvl w:val="0"/>
          <w:numId w:val="1"/>
        </w:numPr>
        <w:tabs>
          <w:tab w:val="left" w:pos="248"/>
        </w:tabs>
        <w:spacing w:before="63" w:line="276" w:lineRule="auto"/>
        <w:ind w:firstLine="0"/>
        <w:rPr>
          <w:sz w:val="15"/>
          <w:szCs w:val="15"/>
        </w:rPr>
      </w:pPr>
      <w:r w:rsidRPr="00D336EC">
        <w:rPr>
          <w:w w:val="105"/>
          <w:sz w:val="15"/>
          <w:szCs w:val="15"/>
        </w:rPr>
        <w:t xml:space="preserve">Equity Risk - the Fund invests in shares of companies, and the value of </w:t>
      </w:r>
      <w:r w:rsidRPr="00D336EC">
        <w:rPr>
          <w:w w:val="105"/>
          <w:sz w:val="15"/>
          <w:szCs w:val="15"/>
        </w:rPr>
        <w:t>these shares can be negatively affected by changes in the company or its industry or the economy in which it</w:t>
      </w:r>
      <w:r w:rsidRPr="00D336EC">
        <w:rPr>
          <w:spacing w:val="-7"/>
          <w:w w:val="105"/>
          <w:sz w:val="15"/>
          <w:szCs w:val="15"/>
        </w:rPr>
        <w:t xml:space="preserve"> </w:t>
      </w:r>
      <w:r w:rsidRPr="00D336EC">
        <w:rPr>
          <w:w w:val="105"/>
          <w:sz w:val="15"/>
          <w:szCs w:val="15"/>
        </w:rPr>
        <w:t>operates.</w:t>
      </w:r>
    </w:p>
    <w:p w14:paraId="7B86BF2E" w14:textId="77777777" w:rsidR="00AE5035" w:rsidRPr="00D336EC" w:rsidRDefault="00AE5035" w:rsidP="00AE5035">
      <w:pPr>
        <w:pStyle w:val="BodyText"/>
        <w:rPr>
          <w:sz w:val="15"/>
          <w:szCs w:val="15"/>
        </w:rPr>
      </w:pPr>
    </w:p>
    <w:p w14:paraId="7B614E21" w14:textId="77777777" w:rsidR="00AE5035" w:rsidRPr="00D336EC" w:rsidRDefault="00AE5035" w:rsidP="00AE5035">
      <w:pPr>
        <w:pStyle w:val="ListParagraph"/>
        <w:numPr>
          <w:ilvl w:val="0"/>
          <w:numId w:val="1"/>
        </w:numPr>
        <w:tabs>
          <w:tab w:val="left" w:pos="258"/>
        </w:tabs>
        <w:spacing w:line="276" w:lineRule="auto"/>
        <w:ind w:right="136" w:firstLine="0"/>
        <w:rPr>
          <w:sz w:val="15"/>
          <w:szCs w:val="15"/>
        </w:rPr>
      </w:pPr>
      <w:r w:rsidRPr="00D336EC">
        <w:rPr>
          <w:w w:val="105"/>
          <w:sz w:val="15"/>
          <w:szCs w:val="15"/>
        </w:rPr>
        <w:t>Exchange Rate Risk - changes in exchange rates between the currencies of investments held by the Fund and the Fund's base currency may negatively affect the value of an</w:t>
      </w:r>
      <w:r w:rsidRPr="00D336EC">
        <w:rPr>
          <w:spacing w:val="-7"/>
          <w:w w:val="105"/>
          <w:sz w:val="15"/>
          <w:szCs w:val="15"/>
        </w:rPr>
        <w:t xml:space="preserve"> </w:t>
      </w:r>
      <w:r w:rsidRPr="00D336EC">
        <w:rPr>
          <w:w w:val="105"/>
          <w:sz w:val="15"/>
          <w:szCs w:val="15"/>
        </w:rPr>
        <w:t>investment.</w:t>
      </w:r>
    </w:p>
    <w:p w14:paraId="5EFF4318" w14:textId="77777777" w:rsidR="00AE5035" w:rsidRPr="00D336EC" w:rsidRDefault="00AE5035" w:rsidP="00AE5035">
      <w:pPr>
        <w:pStyle w:val="BodyText"/>
        <w:spacing w:before="11"/>
        <w:rPr>
          <w:sz w:val="15"/>
          <w:szCs w:val="15"/>
        </w:rPr>
      </w:pPr>
    </w:p>
    <w:p w14:paraId="01BDDA59" w14:textId="77777777" w:rsidR="00AE5035" w:rsidRPr="00D336EC" w:rsidRDefault="00AE5035" w:rsidP="00AE5035">
      <w:pPr>
        <w:pStyle w:val="ListParagraph"/>
        <w:numPr>
          <w:ilvl w:val="0"/>
          <w:numId w:val="1"/>
        </w:numPr>
        <w:tabs>
          <w:tab w:val="left" w:pos="287"/>
        </w:tabs>
        <w:spacing w:line="276" w:lineRule="auto"/>
        <w:ind w:firstLine="0"/>
        <w:rPr>
          <w:sz w:val="15"/>
          <w:szCs w:val="15"/>
        </w:rPr>
      </w:pPr>
      <w:r w:rsidRPr="00D336EC">
        <w:rPr>
          <w:w w:val="105"/>
          <w:sz w:val="15"/>
          <w:szCs w:val="15"/>
        </w:rPr>
        <w:t>Operational Risk - the Fund is subject to the risk of loss resulting from inadequate or failed internal processes, people or systems or those of third parties such as those responsible for the custody of its</w:t>
      </w:r>
      <w:r w:rsidRPr="00D336EC">
        <w:rPr>
          <w:spacing w:val="-18"/>
          <w:w w:val="105"/>
          <w:sz w:val="15"/>
          <w:szCs w:val="15"/>
        </w:rPr>
        <w:t xml:space="preserve"> </w:t>
      </w:r>
      <w:r w:rsidRPr="00D336EC">
        <w:rPr>
          <w:w w:val="105"/>
          <w:sz w:val="15"/>
          <w:szCs w:val="15"/>
        </w:rPr>
        <w:t>assets.</w:t>
      </w:r>
    </w:p>
    <w:p w14:paraId="6B6E27A6" w14:textId="77777777" w:rsidR="00AE5035" w:rsidRPr="00D336EC" w:rsidRDefault="00AE5035" w:rsidP="00AE5035">
      <w:pPr>
        <w:pStyle w:val="BodyText"/>
        <w:rPr>
          <w:sz w:val="15"/>
          <w:szCs w:val="15"/>
        </w:rPr>
      </w:pPr>
    </w:p>
    <w:p w14:paraId="78A734D7" w14:textId="07355047" w:rsidR="00D336EC" w:rsidRPr="00D336EC" w:rsidRDefault="00AE5035" w:rsidP="00D336EC">
      <w:pPr>
        <w:pStyle w:val="ListParagraph"/>
        <w:numPr>
          <w:ilvl w:val="0"/>
          <w:numId w:val="1"/>
        </w:numPr>
        <w:tabs>
          <w:tab w:val="left" w:pos="296"/>
        </w:tabs>
        <w:spacing w:line="276" w:lineRule="auto"/>
        <w:ind w:right="135" w:firstLine="0"/>
        <w:rPr>
          <w:sz w:val="15"/>
          <w:szCs w:val="15"/>
        </w:rPr>
      </w:pPr>
      <w:r w:rsidRPr="00D336EC">
        <w:rPr>
          <w:w w:val="105"/>
          <w:sz w:val="15"/>
          <w:szCs w:val="15"/>
        </w:rPr>
        <w:t xml:space="preserve">Liquidity Risk - the risk stemming from the lack of marketability of an investment that cannot be bought or sold quickly enough to prevent or </w:t>
      </w:r>
      <w:proofErr w:type="spellStart"/>
      <w:r w:rsidRPr="00D336EC">
        <w:rPr>
          <w:w w:val="105"/>
          <w:sz w:val="15"/>
          <w:szCs w:val="15"/>
        </w:rPr>
        <w:t>minimise</w:t>
      </w:r>
      <w:proofErr w:type="spellEnd"/>
      <w:r w:rsidRPr="00D336EC">
        <w:rPr>
          <w:w w:val="105"/>
          <w:sz w:val="15"/>
          <w:szCs w:val="15"/>
        </w:rPr>
        <w:t xml:space="preserve"> a</w:t>
      </w:r>
      <w:r w:rsidRPr="00D336EC">
        <w:rPr>
          <w:spacing w:val="-1"/>
          <w:w w:val="105"/>
          <w:sz w:val="15"/>
          <w:szCs w:val="15"/>
        </w:rPr>
        <w:t xml:space="preserve"> </w:t>
      </w:r>
      <w:r w:rsidRPr="00D336EC">
        <w:rPr>
          <w:w w:val="105"/>
          <w:sz w:val="15"/>
          <w:szCs w:val="15"/>
        </w:rPr>
        <w:t>loss.</w:t>
      </w:r>
    </w:p>
    <w:p w14:paraId="1F89E6AE" w14:textId="77777777" w:rsidR="00D336EC" w:rsidRPr="00D336EC" w:rsidRDefault="00D336EC" w:rsidP="00D336EC">
      <w:pPr>
        <w:pStyle w:val="ListParagraph"/>
        <w:rPr>
          <w:sz w:val="15"/>
          <w:szCs w:val="15"/>
        </w:rPr>
      </w:pPr>
    </w:p>
    <w:p w14:paraId="72D0D1F4" w14:textId="2E8A1C81" w:rsidR="00D336EC" w:rsidRPr="00D336EC" w:rsidRDefault="00D336EC" w:rsidP="00D336EC">
      <w:pPr>
        <w:pStyle w:val="ListParagraph"/>
        <w:numPr>
          <w:ilvl w:val="0"/>
          <w:numId w:val="1"/>
        </w:numPr>
        <w:tabs>
          <w:tab w:val="left" w:pos="260"/>
        </w:tabs>
        <w:spacing w:line="276" w:lineRule="auto"/>
        <w:ind w:right="135" w:firstLine="0"/>
        <w:rPr>
          <w:sz w:val="15"/>
          <w:szCs w:val="15"/>
        </w:rPr>
      </w:pPr>
      <w:r w:rsidRPr="00D336EC">
        <w:rPr>
          <w:w w:val="105"/>
          <w:sz w:val="15"/>
          <w:szCs w:val="15"/>
        </w:rPr>
        <w:t>Derivatives Trading Risk - Derivatives are highly sensitive to changes in the value of the assets which they are based on. Additionally there is a risk that the financial</w:t>
      </w:r>
      <w:r w:rsidRPr="00D336EC">
        <w:rPr>
          <w:spacing w:val="-4"/>
          <w:w w:val="105"/>
          <w:sz w:val="15"/>
          <w:szCs w:val="15"/>
        </w:rPr>
        <w:t xml:space="preserve"> </w:t>
      </w:r>
      <w:r w:rsidR="00A70DBB" w:rsidRPr="00D336EC">
        <w:rPr>
          <w:w w:val="105"/>
          <w:sz w:val="15"/>
          <w:szCs w:val="15"/>
        </w:rPr>
        <w:t>institution</w:t>
      </w:r>
      <w:r w:rsidRPr="00D336EC">
        <w:rPr>
          <w:spacing w:val="-3"/>
          <w:w w:val="105"/>
          <w:sz w:val="15"/>
          <w:szCs w:val="15"/>
        </w:rPr>
        <w:t xml:space="preserve"> </w:t>
      </w:r>
      <w:r w:rsidRPr="00D336EC">
        <w:rPr>
          <w:w w:val="105"/>
          <w:sz w:val="15"/>
          <w:szCs w:val="15"/>
        </w:rPr>
        <w:t>used</w:t>
      </w:r>
      <w:r w:rsidRPr="00D336EC">
        <w:rPr>
          <w:spacing w:val="-4"/>
          <w:w w:val="105"/>
          <w:sz w:val="15"/>
          <w:szCs w:val="15"/>
        </w:rPr>
        <w:t xml:space="preserve"> </w:t>
      </w:r>
      <w:r w:rsidRPr="00D336EC">
        <w:rPr>
          <w:w w:val="105"/>
          <w:sz w:val="15"/>
          <w:szCs w:val="15"/>
        </w:rPr>
        <w:t>as</w:t>
      </w:r>
      <w:r w:rsidRPr="00D336EC">
        <w:rPr>
          <w:spacing w:val="-3"/>
          <w:w w:val="105"/>
          <w:sz w:val="15"/>
          <w:szCs w:val="15"/>
        </w:rPr>
        <w:t xml:space="preserve"> </w:t>
      </w:r>
      <w:r w:rsidRPr="00D336EC">
        <w:rPr>
          <w:w w:val="105"/>
          <w:sz w:val="15"/>
          <w:szCs w:val="15"/>
        </w:rPr>
        <w:t>an</w:t>
      </w:r>
      <w:r w:rsidRPr="00D336EC">
        <w:rPr>
          <w:spacing w:val="-3"/>
          <w:w w:val="105"/>
          <w:sz w:val="15"/>
          <w:szCs w:val="15"/>
        </w:rPr>
        <w:t xml:space="preserve"> </w:t>
      </w:r>
      <w:r w:rsidRPr="00D336EC">
        <w:rPr>
          <w:w w:val="105"/>
          <w:sz w:val="15"/>
          <w:szCs w:val="15"/>
        </w:rPr>
        <w:t>intermediary</w:t>
      </w:r>
      <w:r w:rsidRPr="00D336EC">
        <w:rPr>
          <w:spacing w:val="-4"/>
          <w:w w:val="105"/>
          <w:sz w:val="15"/>
          <w:szCs w:val="15"/>
        </w:rPr>
        <w:t xml:space="preserve"> </w:t>
      </w:r>
      <w:r w:rsidRPr="00D336EC">
        <w:rPr>
          <w:w w:val="105"/>
          <w:sz w:val="15"/>
          <w:szCs w:val="15"/>
        </w:rPr>
        <w:t>or</w:t>
      </w:r>
      <w:r w:rsidRPr="00D336EC">
        <w:rPr>
          <w:spacing w:val="-3"/>
          <w:w w:val="105"/>
          <w:sz w:val="15"/>
          <w:szCs w:val="15"/>
        </w:rPr>
        <w:t xml:space="preserve"> </w:t>
      </w:r>
      <w:r w:rsidRPr="00D336EC">
        <w:rPr>
          <w:w w:val="105"/>
          <w:sz w:val="15"/>
          <w:szCs w:val="15"/>
        </w:rPr>
        <w:t>counterparty</w:t>
      </w:r>
      <w:r w:rsidRPr="00D336EC">
        <w:rPr>
          <w:spacing w:val="-3"/>
          <w:w w:val="105"/>
          <w:sz w:val="15"/>
          <w:szCs w:val="15"/>
        </w:rPr>
        <w:t xml:space="preserve"> </w:t>
      </w:r>
      <w:r w:rsidRPr="00D336EC">
        <w:rPr>
          <w:w w:val="105"/>
          <w:sz w:val="15"/>
          <w:szCs w:val="15"/>
        </w:rPr>
        <w:t>might</w:t>
      </w:r>
      <w:r w:rsidRPr="00D336EC">
        <w:rPr>
          <w:spacing w:val="-4"/>
          <w:w w:val="105"/>
          <w:sz w:val="15"/>
          <w:szCs w:val="15"/>
        </w:rPr>
        <w:t xml:space="preserve"> </w:t>
      </w:r>
      <w:r w:rsidRPr="00D336EC">
        <w:rPr>
          <w:w w:val="105"/>
          <w:sz w:val="15"/>
          <w:szCs w:val="15"/>
        </w:rPr>
        <w:t>default.</w:t>
      </w:r>
    </w:p>
    <w:p w14:paraId="15400B1F" w14:textId="77777777" w:rsidR="00D336EC" w:rsidRPr="00D336EC" w:rsidRDefault="00D336EC" w:rsidP="00D336EC">
      <w:pPr>
        <w:pStyle w:val="ListParagraph"/>
        <w:tabs>
          <w:tab w:val="left" w:pos="260"/>
        </w:tabs>
        <w:spacing w:line="276" w:lineRule="auto"/>
        <w:ind w:right="135"/>
        <w:rPr>
          <w:sz w:val="15"/>
          <w:szCs w:val="15"/>
        </w:rPr>
      </w:pPr>
    </w:p>
    <w:p w14:paraId="61404FA8" w14:textId="6E5AE27E" w:rsidR="0000042F" w:rsidRPr="0000042F" w:rsidRDefault="0000042F" w:rsidP="0000042F">
      <w:pPr>
        <w:pStyle w:val="ListParagraph"/>
        <w:numPr>
          <w:ilvl w:val="0"/>
          <w:numId w:val="1"/>
        </w:numPr>
        <w:tabs>
          <w:tab w:val="left" w:pos="260"/>
        </w:tabs>
        <w:spacing w:line="276" w:lineRule="auto"/>
        <w:ind w:right="135" w:firstLine="0"/>
        <w:rPr>
          <w:w w:val="105"/>
          <w:sz w:val="15"/>
          <w:szCs w:val="15"/>
        </w:rPr>
      </w:pPr>
      <w:r w:rsidRPr="00D336EC">
        <w:rPr>
          <w:w w:val="105"/>
          <w:sz w:val="15"/>
          <w:szCs w:val="15"/>
        </w:rPr>
        <w:t>Leverage Risk - the use of Leverage may significantly increas</w:t>
      </w:r>
      <w:r>
        <w:rPr>
          <w:w w:val="105"/>
          <w:sz w:val="15"/>
          <w:szCs w:val="15"/>
        </w:rPr>
        <w:t xml:space="preserve">e the Fund's investment risk </w:t>
      </w:r>
      <w:r w:rsidRPr="00D336EC">
        <w:rPr>
          <w:w w:val="105"/>
          <w:sz w:val="15"/>
          <w:szCs w:val="15"/>
        </w:rPr>
        <w:t>including (</w:t>
      </w:r>
      <w:proofErr w:type="spellStart"/>
      <w:r w:rsidRPr="00D336EC">
        <w:rPr>
          <w:w w:val="105"/>
          <w:sz w:val="15"/>
          <w:szCs w:val="15"/>
        </w:rPr>
        <w:t>i</w:t>
      </w:r>
      <w:proofErr w:type="spellEnd"/>
      <w:r w:rsidRPr="00D336EC">
        <w:rPr>
          <w:w w:val="105"/>
          <w:sz w:val="15"/>
          <w:szCs w:val="15"/>
        </w:rPr>
        <w:t>) greater losses from investments than would otherwise have been the case had the strategy not applied leverage, (ii) margin calls or interim margin requirements which may force premature</w:t>
      </w:r>
      <w:r>
        <w:rPr>
          <w:w w:val="105"/>
          <w:sz w:val="15"/>
          <w:szCs w:val="15"/>
        </w:rPr>
        <w:t xml:space="preserve"> </w:t>
      </w:r>
      <w:r w:rsidRPr="00273D01">
        <w:rPr>
          <w:w w:val="105"/>
          <w:sz w:val="15"/>
          <w:szCs w:val="15"/>
        </w:rPr>
        <w:t>liquidations of investment positions and (iii) the lack of ability to liquidate assets quickly enough to repay its obligations</w:t>
      </w:r>
      <w:r>
        <w:rPr>
          <w:w w:val="105"/>
          <w:sz w:val="15"/>
          <w:szCs w:val="15"/>
        </w:rPr>
        <w:t>.</w:t>
      </w:r>
    </w:p>
    <w:p w14:paraId="3387EDF2" w14:textId="532471AF" w:rsidR="00C45C92" w:rsidRPr="00D336EC" w:rsidRDefault="00C45C92">
      <w:pPr>
        <w:pStyle w:val="BodyText"/>
        <w:spacing w:before="10"/>
        <w:rPr>
          <w:sz w:val="15"/>
          <w:szCs w:val="15"/>
        </w:rPr>
      </w:pPr>
    </w:p>
    <w:p w14:paraId="627996F6" w14:textId="7AA45257" w:rsidR="00D336EC" w:rsidRDefault="002C3844" w:rsidP="00D336EC">
      <w:pPr>
        <w:pStyle w:val="BodyText"/>
        <w:spacing w:line="276" w:lineRule="auto"/>
        <w:ind w:left="154" w:right="93"/>
        <w:rPr>
          <w:w w:val="105"/>
          <w:sz w:val="15"/>
          <w:szCs w:val="15"/>
        </w:rPr>
      </w:pPr>
      <w:r w:rsidRPr="00D336EC">
        <w:rPr>
          <w:w w:val="105"/>
          <w:sz w:val="15"/>
          <w:szCs w:val="15"/>
        </w:rPr>
        <w:t>Please refer to the “Risk Factors” section of the Prospectus for further</w:t>
      </w:r>
      <w:r w:rsidR="00D336EC">
        <w:rPr>
          <w:w w:val="105"/>
          <w:sz w:val="15"/>
          <w:szCs w:val="15"/>
        </w:rPr>
        <w:t xml:space="preserve"> </w:t>
      </w:r>
      <w:r w:rsidR="00D336EC">
        <w:rPr>
          <w:w w:val="105"/>
          <w:sz w:val="15"/>
          <w:szCs w:val="15"/>
        </w:rPr>
        <w:lastRenderedPageBreak/>
        <w:t>information – see under ‘Practical Information’’ for how to obtain a copy.</w:t>
      </w:r>
    </w:p>
    <w:p w14:paraId="00C0279F" w14:textId="0CF7D6A9" w:rsidR="00C45C92" w:rsidRPr="00D336EC" w:rsidRDefault="002C3844" w:rsidP="00D336EC">
      <w:pPr>
        <w:pStyle w:val="BodyText"/>
        <w:spacing w:line="276" w:lineRule="auto"/>
        <w:ind w:right="93"/>
        <w:rPr>
          <w:w w:val="105"/>
          <w:sz w:val="15"/>
          <w:szCs w:val="15"/>
        </w:rPr>
      </w:pPr>
      <w:r w:rsidRPr="00D336EC">
        <w:rPr>
          <w:w w:val="105"/>
          <w:sz w:val="15"/>
          <w:szCs w:val="15"/>
        </w:rPr>
        <w:t>.</w:t>
      </w:r>
    </w:p>
    <w:p w14:paraId="66BCB5E8" w14:textId="77777777" w:rsidR="00C45C92" w:rsidRDefault="00C45C92">
      <w:pPr>
        <w:spacing w:line="276" w:lineRule="auto"/>
        <w:sectPr w:rsidR="00C45C92">
          <w:type w:val="continuous"/>
          <w:pgSz w:w="11910" w:h="16840"/>
          <w:pgMar w:top="580" w:right="360" w:bottom="280" w:left="280" w:header="720" w:footer="720" w:gutter="0"/>
          <w:cols w:num="2" w:space="720" w:equalWidth="0">
            <w:col w:w="5381" w:space="408"/>
            <w:col w:w="5481"/>
          </w:cols>
        </w:sectPr>
      </w:pPr>
    </w:p>
    <w:p w14:paraId="05D3C861" w14:textId="3A231BCE" w:rsidR="002C3844" w:rsidRDefault="00F91DD5">
      <w:pPr>
        <w:pStyle w:val="BodyText"/>
        <w:rPr>
          <w:sz w:val="20"/>
        </w:rPr>
      </w:pPr>
      <w:r>
        <w:rPr>
          <w:sz w:val="20"/>
        </w:rPr>
      </w:r>
      <w:r>
        <w:rPr>
          <w:sz w:val="20"/>
        </w:rPr>
        <w:pict w14:anchorId="214AF41A">
          <v:shape id="_x0000_s1066" type="#_x0000_t202" style="width:551.55pt;height:13pt;mso-left-percent:-10001;mso-top-percent:-10001;mso-position-horizontal:absolute;mso-position-horizontal-relative:char;mso-position-vertical:absolute;mso-position-vertical-relative:line;mso-left-percent:-10001;mso-top-percent:-10001" fillcolor="#bfbfbf" strokeweight=".84pt">
            <v:textbox inset="0,0,0,0">
              <w:txbxContent>
                <w:p w14:paraId="53834982" w14:textId="77777777" w:rsidR="00AE5035" w:rsidRDefault="00AE5035" w:rsidP="00AE5035">
                  <w:pPr>
                    <w:spacing w:before="18"/>
                    <w:ind w:left="26"/>
                    <w:rPr>
                      <w:b/>
                      <w:sz w:val="18"/>
                    </w:rPr>
                  </w:pPr>
                  <w:r>
                    <w:rPr>
                      <w:b/>
                      <w:sz w:val="18"/>
                    </w:rPr>
                    <w:t>Charges for the Fund</w:t>
                  </w:r>
                </w:p>
              </w:txbxContent>
            </v:textbox>
            <w10:anchorlock/>
          </v:shape>
        </w:pict>
      </w:r>
    </w:p>
    <w:p w14:paraId="2700319F" w14:textId="595D67E1" w:rsidR="002C3844" w:rsidRPr="00D336EC" w:rsidRDefault="002C3844" w:rsidP="002C3844">
      <w:pPr>
        <w:pStyle w:val="BodyText"/>
        <w:spacing w:before="94" w:line="276" w:lineRule="auto"/>
        <w:ind w:right="338"/>
        <w:rPr>
          <w:sz w:val="15"/>
          <w:szCs w:val="15"/>
        </w:rPr>
      </w:pPr>
      <w:bookmarkStart w:id="4" w:name="_Hlk32586049"/>
      <w:r w:rsidRPr="00D336EC">
        <w:rPr>
          <w:w w:val="105"/>
          <w:sz w:val="15"/>
          <w:szCs w:val="15"/>
        </w:rPr>
        <w:t>These charges are used to pay the costs of running the Fund, including the costs of marketing and distribution. These charges reduce the potential growth of your investment.</w:t>
      </w:r>
    </w:p>
    <w:p w14:paraId="4D7C5E5A" w14:textId="0E9FA7E8" w:rsidR="002C3844" w:rsidRPr="00D336EC" w:rsidRDefault="00F91DD5" w:rsidP="002C3844">
      <w:pPr>
        <w:spacing w:before="8"/>
        <w:rPr>
          <w:sz w:val="15"/>
          <w:szCs w:val="15"/>
        </w:rPr>
      </w:pPr>
      <w:r>
        <w:rPr>
          <w:sz w:val="15"/>
          <w:szCs w:val="15"/>
        </w:rPr>
        <w:pict w14:anchorId="15347E30">
          <v:shape id="_x0000_s1065" type="#_x0000_t202" style="position:absolute;margin-left:21.3pt;margin-top:.95pt;width:296.35pt;height:194.4pt;z-index:251683840;mso-position-horizontal-relative:page" filled="f" stroked="f">
            <v:textbox style="mso-next-textbox:#_x0000_s1065" inset="0,0,0,0">
              <w:txbxContent>
                <w:tbl>
                  <w:tblPr>
                    <w:tblW w:w="552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29"/>
                  </w:tblGrid>
                  <w:tr w:rsidR="002C3844" w14:paraId="4D2772E2" w14:textId="77777777" w:rsidTr="00E85E0E">
                    <w:trPr>
                      <w:trHeight w:val="1688"/>
                    </w:trPr>
                    <w:tc>
                      <w:tcPr>
                        <w:tcW w:w="5529" w:type="dxa"/>
                      </w:tcPr>
                      <w:p w14:paraId="19D9B5EE" w14:textId="77777777" w:rsidR="002C3844" w:rsidRDefault="002C3844">
                        <w:pPr>
                          <w:pStyle w:val="TableParagraph"/>
                          <w:spacing w:before="35"/>
                          <w:rPr>
                            <w:b/>
                            <w:sz w:val="16"/>
                          </w:rPr>
                        </w:pPr>
                        <w:r>
                          <w:rPr>
                            <w:b/>
                            <w:sz w:val="16"/>
                          </w:rPr>
                          <w:t>One-off charges taken before or after you invest</w:t>
                        </w:r>
                      </w:p>
                      <w:p w14:paraId="502531AB" w14:textId="77777777" w:rsidR="002C3844" w:rsidRDefault="002C3844">
                        <w:pPr>
                          <w:pStyle w:val="TableParagraph"/>
                          <w:tabs>
                            <w:tab w:val="left" w:pos="2497"/>
                          </w:tabs>
                          <w:spacing w:before="75"/>
                          <w:rPr>
                            <w:sz w:val="16"/>
                          </w:rPr>
                        </w:pPr>
                        <w:r>
                          <w:rPr>
                            <w:sz w:val="16"/>
                          </w:rPr>
                          <w:t>Entry</w:t>
                        </w:r>
                        <w:r>
                          <w:rPr>
                            <w:spacing w:val="5"/>
                            <w:sz w:val="16"/>
                          </w:rPr>
                          <w:t xml:space="preserve"> </w:t>
                        </w:r>
                        <w:r>
                          <w:rPr>
                            <w:sz w:val="16"/>
                          </w:rPr>
                          <w:t>charge</w:t>
                        </w:r>
                        <w:r>
                          <w:rPr>
                            <w:sz w:val="16"/>
                          </w:rPr>
                          <w:tab/>
                          <w:t>5.00%</w:t>
                        </w:r>
                      </w:p>
                      <w:p w14:paraId="3DEF4E87" w14:textId="77777777" w:rsidR="002C3844" w:rsidRDefault="002C3844">
                        <w:pPr>
                          <w:pStyle w:val="TableParagraph"/>
                          <w:tabs>
                            <w:tab w:val="left" w:pos="2497"/>
                          </w:tabs>
                          <w:spacing w:before="76"/>
                          <w:rPr>
                            <w:sz w:val="16"/>
                          </w:rPr>
                        </w:pPr>
                        <w:r>
                          <w:rPr>
                            <w:sz w:val="16"/>
                          </w:rPr>
                          <w:t>Exit</w:t>
                        </w:r>
                        <w:r>
                          <w:rPr>
                            <w:spacing w:val="4"/>
                            <w:sz w:val="16"/>
                          </w:rPr>
                          <w:t xml:space="preserve"> </w:t>
                        </w:r>
                        <w:r>
                          <w:rPr>
                            <w:sz w:val="16"/>
                          </w:rPr>
                          <w:t>charge</w:t>
                        </w:r>
                        <w:r>
                          <w:rPr>
                            <w:sz w:val="16"/>
                          </w:rPr>
                          <w:tab/>
                          <w:t>3.00%</w:t>
                        </w:r>
                      </w:p>
                      <w:p w14:paraId="20A46FFB" w14:textId="77777777" w:rsidR="002C3844" w:rsidRDefault="002C3844">
                        <w:pPr>
                          <w:pStyle w:val="TableParagraph"/>
                          <w:spacing w:before="3"/>
                          <w:ind w:left="0"/>
                          <w:rPr>
                            <w:sz w:val="25"/>
                          </w:rPr>
                        </w:pPr>
                      </w:p>
                      <w:p w14:paraId="5F68A8FA" w14:textId="77777777" w:rsidR="002C3844" w:rsidRDefault="002C3844">
                        <w:pPr>
                          <w:pStyle w:val="TableParagraph"/>
                          <w:spacing w:before="0" w:line="266" w:lineRule="auto"/>
                          <w:rPr>
                            <w:sz w:val="16"/>
                          </w:rPr>
                        </w:pPr>
                        <w:r>
                          <w:rPr>
                            <w:sz w:val="16"/>
                          </w:rPr>
                          <w:t>This is the maximum that might be taken out of your money before it is invested or before the proceeds of your investment are paid out.</w:t>
                        </w:r>
                      </w:p>
                    </w:tc>
                  </w:tr>
                  <w:tr w:rsidR="002C3844" w14:paraId="43A902B1" w14:textId="77777777" w:rsidTr="00E85E0E">
                    <w:trPr>
                      <w:trHeight w:val="767"/>
                    </w:trPr>
                    <w:tc>
                      <w:tcPr>
                        <w:tcW w:w="5529" w:type="dxa"/>
                      </w:tcPr>
                      <w:p w14:paraId="7D6F2FCD" w14:textId="77777777" w:rsidR="002C3844" w:rsidRDefault="002C3844">
                        <w:pPr>
                          <w:pStyle w:val="TableParagraph"/>
                          <w:spacing w:before="105"/>
                          <w:rPr>
                            <w:b/>
                            <w:sz w:val="16"/>
                          </w:rPr>
                        </w:pPr>
                        <w:r>
                          <w:rPr>
                            <w:b/>
                            <w:sz w:val="16"/>
                          </w:rPr>
                          <w:t>Charges taken from the Fund over a year</w:t>
                        </w:r>
                      </w:p>
                      <w:p w14:paraId="2D89B44C" w14:textId="77777777" w:rsidR="002C3844" w:rsidRDefault="002C3844">
                        <w:pPr>
                          <w:pStyle w:val="TableParagraph"/>
                          <w:spacing w:before="0"/>
                          <w:ind w:left="0"/>
                          <w:rPr>
                            <w:sz w:val="18"/>
                          </w:rPr>
                        </w:pPr>
                      </w:p>
                      <w:p w14:paraId="16D6A5F2" w14:textId="398592C3" w:rsidR="002C3844" w:rsidRDefault="002C3844">
                        <w:pPr>
                          <w:pStyle w:val="TableParagraph"/>
                          <w:tabs>
                            <w:tab w:val="left" w:pos="2498"/>
                          </w:tabs>
                          <w:spacing w:before="0"/>
                          <w:rPr>
                            <w:sz w:val="16"/>
                          </w:rPr>
                        </w:pPr>
                        <w:r>
                          <w:rPr>
                            <w:sz w:val="16"/>
                          </w:rPr>
                          <w:t>Ongoing</w:t>
                        </w:r>
                        <w:r>
                          <w:rPr>
                            <w:spacing w:val="7"/>
                            <w:sz w:val="16"/>
                          </w:rPr>
                          <w:t xml:space="preserve"> </w:t>
                        </w:r>
                        <w:r>
                          <w:rPr>
                            <w:sz w:val="16"/>
                          </w:rPr>
                          <w:t>charges</w:t>
                        </w:r>
                        <w:r>
                          <w:rPr>
                            <w:sz w:val="16"/>
                          </w:rPr>
                          <w:tab/>
                        </w:r>
                        <w:r w:rsidR="007D7B61">
                          <w:rPr>
                            <w:sz w:val="16"/>
                          </w:rPr>
                          <w:t>2.21</w:t>
                        </w:r>
                        <w:r>
                          <w:rPr>
                            <w:sz w:val="16"/>
                          </w:rPr>
                          <w:t>%</w:t>
                        </w:r>
                      </w:p>
                    </w:tc>
                  </w:tr>
                  <w:tr w:rsidR="002C3844" w14:paraId="07C18EDC" w14:textId="77777777" w:rsidTr="00E85E0E">
                    <w:trPr>
                      <w:trHeight w:val="1028"/>
                    </w:trPr>
                    <w:tc>
                      <w:tcPr>
                        <w:tcW w:w="5529" w:type="dxa"/>
                      </w:tcPr>
                      <w:p w14:paraId="45D9089B" w14:textId="77777777" w:rsidR="002C3844" w:rsidRDefault="002C3844">
                        <w:pPr>
                          <w:pStyle w:val="TableParagraph"/>
                          <w:rPr>
                            <w:b/>
                            <w:sz w:val="16"/>
                          </w:rPr>
                        </w:pPr>
                        <w:r>
                          <w:rPr>
                            <w:b/>
                            <w:sz w:val="16"/>
                          </w:rPr>
                          <w:t>Charges taken from the Fund under certain specific conditions</w:t>
                        </w:r>
                      </w:p>
                      <w:p w14:paraId="322C0703" w14:textId="77777777" w:rsidR="002C3844" w:rsidRDefault="002C3844">
                        <w:pPr>
                          <w:pStyle w:val="TableParagraph"/>
                          <w:spacing w:before="0"/>
                          <w:ind w:left="0"/>
                          <w:rPr>
                            <w:sz w:val="18"/>
                          </w:rPr>
                        </w:pPr>
                      </w:p>
                      <w:p w14:paraId="5E15DCB9" w14:textId="5D1F533B" w:rsidR="002C3844" w:rsidRDefault="002C3844">
                        <w:pPr>
                          <w:pStyle w:val="TableParagraph"/>
                          <w:tabs>
                            <w:tab w:val="left" w:pos="2498"/>
                          </w:tabs>
                          <w:spacing w:before="132"/>
                          <w:rPr>
                            <w:sz w:val="16"/>
                          </w:rPr>
                        </w:pPr>
                        <w:r>
                          <w:rPr>
                            <w:sz w:val="16"/>
                          </w:rPr>
                          <w:t>Performance</w:t>
                        </w:r>
                        <w:r>
                          <w:rPr>
                            <w:spacing w:val="7"/>
                            <w:sz w:val="16"/>
                          </w:rPr>
                          <w:t xml:space="preserve"> </w:t>
                        </w:r>
                        <w:r>
                          <w:rPr>
                            <w:sz w:val="16"/>
                          </w:rPr>
                          <w:t>Fee</w:t>
                        </w:r>
                        <w:r>
                          <w:rPr>
                            <w:sz w:val="16"/>
                          </w:rPr>
                          <w:tab/>
                        </w:r>
                        <w:r w:rsidR="007D7B61">
                          <w:rPr>
                            <w:sz w:val="16"/>
                          </w:rPr>
                          <w:t>0.00%</w:t>
                        </w:r>
                      </w:p>
                    </w:tc>
                  </w:tr>
                  <w:tr w:rsidR="00E85E0E" w14:paraId="496FEABE" w14:textId="77777777" w:rsidTr="00E85E0E">
                    <w:trPr>
                      <w:trHeight w:val="1028"/>
                    </w:trPr>
                    <w:tc>
                      <w:tcPr>
                        <w:tcW w:w="5529" w:type="dxa"/>
                      </w:tcPr>
                      <w:p w14:paraId="6545FFB7" w14:textId="77777777" w:rsidR="00E85E0E" w:rsidRDefault="00E85E0E">
                        <w:pPr>
                          <w:pStyle w:val="TableParagraph"/>
                          <w:rPr>
                            <w:b/>
                            <w:sz w:val="16"/>
                          </w:rPr>
                        </w:pPr>
                      </w:p>
                    </w:tc>
                  </w:tr>
                </w:tbl>
                <w:p w14:paraId="279245BF" w14:textId="77777777" w:rsidR="002C3844" w:rsidRDefault="002C3844" w:rsidP="002C3844">
                  <w:pPr>
                    <w:pStyle w:val="BodyText"/>
                  </w:pPr>
                </w:p>
              </w:txbxContent>
            </v:textbox>
            <w10:wrap anchorx="page"/>
          </v:shape>
        </w:pict>
      </w:r>
    </w:p>
    <w:p w14:paraId="373C8860" w14:textId="7A057438" w:rsidR="002C3844" w:rsidRPr="00D336EC" w:rsidRDefault="002C3844" w:rsidP="002C3844">
      <w:pPr>
        <w:spacing w:line="276" w:lineRule="auto"/>
        <w:ind w:left="5943" w:right="131"/>
        <w:jc w:val="both"/>
        <w:rPr>
          <w:sz w:val="15"/>
          <w:szCs w:val="15"/>
        </w:rPr>
      </w:pPr>
      <w:r w:rsidRPr="00D336EC">
        <w:rPr>
          <w:w w:val="105"/>
          <w:sz w:val="15"/>
          <w:szCs w:val="15"/>
        </w:rPr>
        <w:t>The Exit and Entry charges shown are maximum figures. It is possible that you will pay substantially less, or there will be no charges at all. You can  find out the actual entry and exit charges from your financial advisor, the distributor or the Manager of the</w:t>
      </w:r>
      <w:r w:rsidRPr="00D336EC">
        <w:rPr>
          <w:spacing w:val="-5"/>
          <w:w w:val="105"/>
          <w:sz w:val="15"/>
          <w:szCs w:val="15"/>
        </w:rPr>
        <w:t xml:space="preserve"> </w:t>
      </w:r>
      <w:r w:rsidRPr="00D336EC">
        <w:rPr>
          <w:w w:val="105"/>
          <w:sz w:val="15"/>
          <w:szCs w:val="15"/>
        </w:rPr>
        <w:t>Fund.</w:t>
      </w:r>
    </w:p>
    <w:p w14:paraId="28489102" w14:textId="77777777" w:rsidR="002C3844" w:rsidRPr="00D336EC" w:rsidRDefault="002C3844" w:rsidP="002C3844">
      <w:pPr>
        <w:spacing w:before="11"/>
        <w:rPr>
          <w:sz w:val="15"/>
          <w:szCs w:val="15"/>
        </w:rPr>
      </w:pPr>
    </w:p>
    <w:p w14:paraId="02EFD42B" w14:textId="77777777" w:rsidR="002C3844" w:rsidRPr="00D336EC" w:rsidRDefault="002C3844" w:rsidP="002C3844">
      <w:pPr>
        <w:spacing w:line="276" w:lineRule="auto"/>
        <w:ind w:left="5943" w:right="137"/>
        <w:jc w:val="both"/>
        <w:rPr>
          <w:sz w:val="15"/>
          <w:szCs w:val="15"/>
        </w:rPr>
      </w:pPr>
      <w:r w:rsidRPr="00D336EC">
        <w:rPr>
          <w:w w:val="105"/>
          <w:sz w:val="15"/>
          <w:szCs w:val="15"/>
        </w:rPr>
        <w:t>While a conversion charge of up to a maximum of 3% of the subscription price may apply, it is not currently intended that any such charge will be applied.</w:t>
      </w:r>
    </w:p>
    <w:p w14:paraId="45AB3250" w14:textId="77777777" w:rsidR="002C3844" w:rsidRPr="00D336EC" w:rsidRDefault="002C3844" w:rsidP="002C3844">
      <w:pPr>
        <w:rPr>
          <w:sz w:val="15"/>
          <w:szCs w:val="15"/>
        </w:rPr>
      </w:pPr>
    </w:p>
    <w:p w14:paraId="1D1B8390" w14:textId="4EEE2E8B" w:rsidR="002E0477" w:rsidRDefault="002D50F3" w:rsidP="002C3844">
      <w:pPr>
        <w:spacing w:line="276" w:lineRule="auto"/>
        <w:ind w:left="5943" w:right="132"/>
        <w:jc w:val="both"/>
        <w:rPr>
          <w:w w:val="105"/>
          <w:sz w:val="15"/>
          <w:szCs w:val="15"/>
        </w:rPr>
      </w:pPr>
      <w:r w:rsidRPr="002D50F3">
        <w:rPr>
          <w:w w:val="105"/>
          <w:sz w:val="15"/>
          <w:szCs w:val="15"/>
        </w:rPr>
        <w:t>The ongoing charges figure is an estimate of charges for the first 12 months of operation of the Fund. The annual report in respect of the Fund for each financial year will include details on the exact charges made. This figure may vary from year to year. It excludes performance fees (if any) and portfolio transaction costs, except in the case of an entry or exit charge paid by the UCITS when buying or selling units in another UCITS or collective investment undertaking.</w:t>
      </w:r>
    </w:p>
    <w:p w14:paraId="758DB0A3" w14:textId="77777777" w:rsidR="002E0477" w:rsidRDefault="002E0477" w:rsidP="002C3844">
      <w:pPr>
        <w:spacing w:line="276" w:lineRule="auto"/>
        <w:ind w:left="5943" w:right="132"/>
        <w:jc w:val="both"/>
        <w:rPr>
          <w:w w:val="105"/>
          <w:sz w:val="15"/>
          <w:szCs w:val="15"/>
        </w:rPr>
      </w:pPr>
    </w:p>
    <w:p w14:paraId="53B605D9" w14:textId="14F19889" w:rsidR="002C3844" w:rsidRPr="00D336EC" w:rsidRDefault="002C3844" w:rsidP="002C3844">
      <w:pPr>
        <w:spacing w:line="276" w:lineRule="auto"/>
        <w:ind w:left="5943" w:right="132"/>
        <w:jc w:val="both"/>
        <w:rPr>
          <w:sz w:val="15"/>
          <w:szCs w:val="15"/>
        </w:rPr>
      </w:pPr>
      <w:r w:rsidRPr="00D336EC">
        <w:rPr>
          <w:w w:val="105"/>
          <w:sz w:val="15"/>
          <w:szCs w:val="15"/>
        </w:rPr>
        <w:t>.</w:t>
      </w:r>
    </w:p>
    <w:p w14:paraId="090B3E10" w14:textId="5974A7C5" w:rsidR="002C3844" w:rsidRPr="00D336EC" w:rsidRDefault="002C3844" w:rsidP="002C3844">
      <w:pPr>
        <w:rPr>
          <w:sz w:val="15"/>
          <w:szCs w:val="15"/>
        </w:rPr>
      </w:pPr>
    </w:p>
    <w:p w14:paraId="66C5F4F7" w14:textId="77777777" w:rsidR="002C3844" w:rsidRPr="00D336EC" w:rsidRDefault="002C3844" w:rsidP="002C3844">
      <w:pPr>
        <w:rPr>
          <w:sz w:val="15"/>
          <w:szCs w:val="15"/>
        </w:rPr>
      </w:pPr>
    </w:p>
    <w:p w14:paraId="62B8A79F" w14:textId="64ACAA2D" w:rsidR="00C45C92" w:rsidRPr="00AE5035" w:rsidRDefault="002C3844" w:rsidP="00AE5035">
      <w:pPr>
        <w:spacing w:line="276" w:lineRule="auto"/>
        <w:ind w:left="154" w:right="105"/>
        <w:rPr>
          <w:sz w:val="14"/>
          <w:szCs w:val="14"/>
        </w:rPr>
      </w:pPr>
      <w:r w:rsidRPr="00D336EC">
        <w:rPr>
          <w:w w:val="105"/>
          <w:sz w:val="15"/>
          <w:szCs w:val="15"/>
        </w:rPr>
        <w:t>You can find more details about the charges, including the application of an anti-dilution levy, in the section of the ICAV’s Prospectus and the Fund's Supplement entitled</w:t>
      </w:r>
      <w:r w:rsidRPr="002C3844">
        <w:rPr>
          <w:w w:val="105"/>
          <w:sz w:val="14"/>
          <w:szCs w:val="14"/>
        </w:rPr>
        <w:t xml:space="preserve"> "Fee</w:t>
      </w:r>
      <w:bookmarkEnd w:id="4"/>
      <w:r w:rsidR="00AE5035">
        <w:rPr>
          <w:w w:val="105"/>
          <w:sz w:val="14"/>
          <w:szCs w:val="14"/>
        </w:rPr>
        <w:t xml:space="preserve"> and Charges’’</w:t>
      </w:r>
    </w:p>
    <w:p w14:paraId="0E5BDB4D" w14:textId="4F097CCE" w:rsidR="00AE5035" w:rsidRDefault="00F91DD5" w:rsidP="00AE5035">
      <w:pPr>
        <w:pStyle w:val="BodyText"/>
        <w:spacing w:before="9"/>
        <w:rPr>
          <w:b/>
          <w:bCs/>
          <w:sz w:val="16"/>
          <w:szCs w:val="10"/>
        </w:rPr>
      </w:pPr>
      <w:r>
        <w:pict w14:anchorId="7ADFECC2">
          <v:shape id="_x0000_s1047" type="#_x0000_t202" style="position:absolute;margin-left:22.1pt;margin-top:7.3pt;width:551.55pt;height:13pt;z-index:-251649024;mso-wrap-distance-left:0;mso-wrap-distance-right:0;mso-position-horizontal-relative:page;mso-position-vertical-relative:text" fillcolor="#bfbfbf" strokeweight=".84pt">
            <v:textbox style="mso-next-textbox:#_x0000_s1047" inset="0,0,0,0">
              <w:txbxContent>
                <w:p w14:paraId="4E52B390" w14:textId="77777777" w:rsidR="00C45C92" w:rsidRDefault="002C3844">
                  <w:pPr>
                    <w:spacing w:before="18"/>
                    <w:ind w:left="26"/>
                    <w:rPr>
                      <w:b/>
                      <w:sz w:val="18"/>
                    </w:rPr>
                  </w:pPr>
                  <w:r>
                    <w:rPr>
                      <w:b/>
                      <w:sz w:val="18"/>
                    </w:rPr>
                    <w:t>Past Performance</w:t>
                  </w:r>
                </w:p>
              </w:txbxContent>
            </v:textbox>
            <w10:wrap type="topAndBottom" anchorx="page"/>
          </v:shape>
        </w:pict>
      </w:r>
    </w:p>
    <w:p w14:paraId="472C768F" w14:textId="0C6C7239" w:rsidR="00AE5035" w:rsidRPr="000B4F8F" w:rsidRDefault="00AE5035" w:rsidP="002E0477">
      <w:pPr>
        <w:pStyle w:val="BodyText"/>
        <w:rPr>
          <w:sz w:val="15"/>
          <w:szCs w:val="15"/>
        </w:rPr>
      </w:pPr>
      <w:r>
        <w:rPr>
          <w:b/>
          <w:bCs/>
          <w:sz w:val="16"/>
          <w:szCs w:val="10"/>
        </w:rPr>
        <w:tab/>
      </w:r>
      <w:r>
        <w:rPr>
          <w:b/>
          <w:bCs/>
          <w:sz w:val="16"/>
          <w:szCs w:val="10"/>
        </w:rPr>
        <w:tab/>
      </w:r>
      <w:r>
        <w:rPr>
          <w:b/>
          <w:bCs/>
          <w:sz w:val="16"/>
          <w:szCs w:val="10"/>
        </w:rPr>
        <w:tab/>
      </w:r>
      <w:r>
        <w:rPr>
          <w:b/>
          <w:bCs/>
          <w:sz w:val="16"/>
          <w:szCs w:val="10"/>
        </w:rPr>
        <w:tab/>
      </w:r>
      <w:r>
        <w:rPr>
          <w:b/>
          <w:bCs/>
          <w:sz w:val="16"/>
          <w:szCs w:val="10"/>
        </w:rPr>
        <w:tab/>
      </w:r>
      <w:r>
        <w:rPr>
          <w:b/>
          <w:bCs/>
          <w:sz w:val="16"/>
          <w:szCs w:val="10"/>
        </w:rPr>
        <w:tab/>
      </w:r>
      <w:r>
        <w:rPr>
          <w:b/>
          <w:bCs/>
          <w:sz w:val="16"/>
          <w:szCs w:val="10"/>
        </w:rPr>
        <w:tab/>
      </w:r>
      <w:r>
        <w:rPr>
          <w:b/>
          <w:bCs/>
          <w:sz w:val="16"/>
          <w:szCs w:val="10"/>
        </w:rPr>
        <w:tab/>
      </w:r>
      <w:r w:rsidRPr="000B4F8F">
        <w:rPr>
          <w:b/>
          <w:bCs/>
          <w:sz w:val="15"/>
          <w:szCs w:val="15"/>
        </w:rPr>
        <w:tab/>
      </w:r>
      <w:r w:rsidRPr="000B4F8F">
        <w:rPr>
          <w:b/>
          <w:bCs/>
          <w:sz w:val="15"/>
          <w:szCs w:val="15"/>
        </w:rPr>
        <w:tab/>
      </w:r>
      <w:r w:rsidRPr="000B4F8F">
        <w:rPr>
          <w:b/>
          <w:bCs/>
          <w:sz w:val="15"/>
          <w:szCs w:val="15"/>
        </w:rPr>
        <w:tab/>
      </w:r>
      <w:r w:rsidRPr="000B4F8F">
        <w:rPr>
          <w:b/>
          <w:bCs/>
          <w:sz w:val="15"/>
          <w:szCs w:val="15"/>
        </w:rPr>
        <w:tab/>
        <w:t xml:space="preserve"> </w:t>
      </w:r>
      <w:r w:rsidRPr="000B4F8F">
        <w:rPr>
          <w:b/>
          <w:bCs/>
          <w:sz w:val="15"/>
          <w:szCs w:val="15"/>
        </w:rPr>
        <w:tab/>
      </w:r>
    </w:p>
    <w:p w14:paraId="10E123BB" w14:textId="636616C1" w:rsidR="00AE5035" w:rsidRDefault="003D6C17">
      <w:pPr>
        <w:pStyle w:val="BodyText"/>
        <w:spacing w:before="9"/>
        <w:rPr>
          <w:b/>
          <w:bCs/>
          <w:sz w:val="16"/>
          <w:szCs w:val="10"/>
        </w:rPr>
      </w:pPr>
      <w:r>
        <w:rPr>
          <w:b/>
          <w:bCs/>
          <w:sz w:val="16"/>
          <w:szCs w:val="10"/>
        </w:rPr>
        <w:t xml:space="preserve">  </w:t>
      </w:r>
      <w:r w:rsidR="002E0477">
        <w:rPr>
          <w:b/>
          <w:bCs/>
          <w:sz w:val="16"/>
          <w:szCs w:val="10"/>
        </w:rPr>
        <w:t xml:space="preserve">There </w:t>
      </w:r>
      <w:r w:rsidR="002E0477" w:rsidRPr="002E0477">
        <w:rPr>
          <w:b/>
          <w:bCs/>
          <w:sz w:val="16"/>
          <w:szCs w:val="10"/>
        </w:rPr>
        <w:t>is insufficient data to provide a useful indication of past performance</w:t>
      </w:r>
    </w:p>
    <w:p w14:paraId="6142658A" w14:textId="295BB336" w:rsidR="00C45C92" w:rsidRPr="000B4F8F" w:rsidRDefault="00C45C92">
      <w:pPr>
        <w:pStyle w:val="BodyText"/>
        <w:spacing w:before="9"/>
        <w:rPr>
          <w:b/>
          <w:bCs/>
          <w:sz w:val="16"/>
          <w:szCs w:val="10"/>
        </w:rPr>
      </w:pPr>
    </w:p>
    <w:p w14:paraId="4B3E379F" w14:textId="3DF6E1D4" w:rsidR="00C45C92" w:rsidRPr="00D336EC" w:rsidRDefault="00F91DD5">
      <w:pPr>
        <w:pStyle w:val="BodyText"/>
        <w:spacing w:before="1"/>
        <w:rPr>
          <w:sz w:val="15"/>
          <w:szCs w:val="15"/>
        </w:rPr>
      </w:pPr>
      <w:r>
        <w:pict w14:anchorId="25263F89">
          <v:shape id="_x0000_s1026" type="#_x0000_t202" style="position:absolute;margin-left:21.3pt;margin-top:9.4pt;width:551.55pt;height:13pt;z-index:-251648000;mso-wrap-distance-left:0;mso-wrap-distance-right:0;mso-position-horizontal-relative:page" fillcolor="#bfbfbf" strokeweight=".84pt">
            <v:textbox inset="0,0,0,0">
              <w:txbxContent>
                <w:p w14:paraId="7AA006E5" w14:textId="77777777" w:rsidR="00C45C92" w:rsidRDefault="002C3844">
                  <w:pPr>
                    <w:spacing w:before="18"/>
                    <w:ind w:left="26"/>
                    <w:rPr>
                      <w:b/>
                      <w:sz w:val="18"/>
                    </w:rPr>
                  </w:pPr>
                  <w:r>
                    <w:rPr>
                      <w:b/>
                      <w:sz w:val="18"/>
                    </w:rPr>
                    <w:t>Practical Information</w:t>
                  </w:r>
                </w:p>
              </w:txbxContent>
            </v:textbox>
            <w10:wrap type="topAndBottom" anchorx="page"/>
          </v:shape>
        </w:pict>
      </w:r>
    </w:p>
    <w:p w14:paraId="2CE8BC75" w14:textId="77777777" w:rsidR="00C45C92" w:rsidRPr="00D336EC" w:rsidRDefault="00C45C92">
      <w:pPr>
        <w:rPr>
          <w:sz w:val="15"/>
          <w:szCs w:val="15"/>
        </w:rPr>
        <w:sectPr w:rsidR="00C45C92" w:rsidRPr="00D336EC" w:rsidSect="002C3844">
          <w:type w:val="continuous"/>
          <w:pgSz w:w="11910" w:h="16840"/>
          <w:pgMar w:top="340" w:right="360" w:bottom="280" w:left="280" w:header="720" w:footer="720" w:gutter="0"/>
          <w:cols w:space="720"/>
        </w:sectPr>
      </w:pPr>
    </w:p>
    <w:p w14:paraId="7792AB58" w14:textId="77777777" w:rsidR="00C45C92" w:rsidRPr="00D336EC" w:rsidRDefault="002C3844">
      <w:pPr>
        <w:spacing w:before="64"/>
        <w:ind w:left="154"/>
        <w:jc w:val="both"/>
        <w:rPr>
          <w:sz w:val="15"/>
          <w:szCs w:val="15"/>
        </w:rPr>
      </w:pPr>
      <w:r w:rsidRPr="00D336EC">
        <w:rPr>
          <w:b/>
          <w:w w:val="105"/>
          <w:sz w:val="15"/>
          <w:szCs w:val="15"/>
        </w:rPr>
        <w:t xml:space="preserve">Fund Depositary: </w:t>
      </w:r>
      <w:r w:rsidRPr="00D336EC">
        <w:rPr>
          <w:w w:val="105"/>
          <w:sz w:val="15"/>
          <w:szCs w:val="15"/>
        </w:rPr>
        <w:t>Northern Trust Fiduciary Services (Ireland) Limited</w:t>
      </w:r>
    </w:p>
    <w:p w14:paraId="50C43CD0" w14:textId="50636206" w:rsidR="00C45C92" w:rsidRPr="00D336EC" w:rsidRDefault="002C3844">
      <w:pPr>
        <w:pStyle w:val="BodyText"/>
        <w:spacing w:before="84" w:line="276" w:lineRule="auto"/>
        <w:ind w:left="154" w:right="39"/>
        <w:jc w:val="both"/>
        <w:rPr>
          <w:sz w:val="15"/>
          <w:szCs w:val="15"/>
        </w:rPr>
      </w:pPr>
      <w:r w:rsidRPr="00D336EC">
        <w:rPr>
          <w:b/>
          <w:w w:val="105"/>
          <w:sz w:val="15"/>
          <w:szCs w:val="15"/>
        </w:rPr>
        <w:t xml:space="preserve">Further Information: </w:t>
      </w:r>
      <w:r w:rsidRPr="00D336EC">
        <w:rPr>
          <w:w w:val="105"/>
          <w:sz w:val="15"/>
          <w:szCs w:val="15"/>
        </w:rPr>
        <w:t xml:space="preserve">Copies of the Prospectus of </w:t>
      </w:r>
      <w:r w:rsidR="00A70DBB">
        <w:rPr>
          <w:w w:val="105"/>
          <w:sz w:val="15"/>
          <w:szCs w:val="15"/>
        </w:rPr>
        <w:t>Osmosis</w:t>
      </w:r>
      <w:r w:rsidRPr="00D336EC">
        <w:rPr>
          <w:w w:val="105"/>
          <w:sz w:val="15"/>
          <w:szCs w:val="15"/>
        </w:rPr>
        <w:t xml:space="preserve"> ICAV and the annual and half-yearly reports of the Fund are available in English and may be obtained, free of charge, from the Administrator, the Investment Manager and also from Prescient Fund Services (Ireland) Limited (the “Manager”) at </w:t>
      </w:r>
      <w:r w:rsidR="003D6C17">
        <w:rPr>
          <w:w w:val="105"/>
          <w:sz w:val="15"/>
          <w:szCs w:val="15"/>
        </w:rPr>
        <w:t>35 Merrion Square East</w:t>
      </w:r>
      <w:r w:rsidRPr="00D336EC">
        <w:rPr>
          <w:w w:val="105"/>
          <w:sz w:val="15"/>
          <w:szCs w:val="15"/>
        </w:rPr>
        <w:t>, Dublin 2, Ireland or by visiting</w:t>
      </w:r>
      <w:r w:rsidRPr="00D336EC">
        <w:rPr>
          <w:spacing w:val="-23"/>
          <w:w w:val="105"/>
          <w:sz w:val="15"/>
          <w:szCs w:val="15"/>
        </w:rPr>
        <w:t xml:space="preserve"> </w:t>
      </w:r>
      <w:hyperlink r:id="rId9">
        <w:r w:rsidRPr="00D336EC">
          <w:rPr>
            <w:w w:val="105"/>
            <w:sz w:val="15"/>
            <w:szCs w:val="15"/>
          </w:rPr>
          <w:t>www.prescient.ie.</w:t>
        </w:r>
      </w:hyperlink>
    </w:p>
    <w:p w14:paraId="12E09AF4" w14:textId="77777777" w:rsidR="00C45C92" w:rsidRPr="00D336EC" w:rsidRDefault="00C45C92">
      <w:pPr>
        <w:pStyle w:val="BodyText"/>
        <w:spacing w:before="3"/>
        <w:rPr>
          <w:sz w:val="15"/>
          <w:szCs w:val="15"/>
        </w:rPr>
      </w:pPr>
    </w:p>
    <w:p w14:paraId="4DA53990" w14:textId="77777777" w:rsidR="00C45C92" w:rsidRPr="00D336EC" w:rsidRDefault="002C3844">
      <w:pPr>
        <w:spacing w:before="1"/>
        <w:ind w:left="154"/>
        <w:jc w:val="both"/>
        <w:rPr>
          <w:sz w:val="15"/>
          <w:szCs w:val="15"/>
        </w:rPr>
      </w:pPr>
      <w:r w:rsidRPr="00D336EC">
        <w:rPr>
          <w:b/>
          <w:w w:val="105"/>
          <w:sz w:val="15"/>
          <w:szCs w:val="15"/>
        </w:rPr>
        <w:t xml:space="preserve">Share Price / NAV: </w:t>
      </w:r>
      <w:r w:rsidRPr="00D336EC">
        <w:rPr>
          <w:w w:val="105"/>
          <w:sz w:val="15"/>
          <w:szCs w:val="15"/>
        </w:rPr>
        <w:t>The net asset value of the Fund is calculated</w:t>
      </w:r>
    </w:p>
    <w:p w14:paraId="071F2384" w14:textId="28F89A03" w:rsidR="00C45C92" w:rsidRPr="00D336EC" w:rsidRDefault="002C3844" w:rsidP="00AE5035">
      <w:pPr>
        <w:pStyle w:val="BodyText"/>
        <w:spacing w:before="52" w:line="276" w:lineRule="auto"/>
        <w:ind w:left="154" w:right="38"/>
        <w:jc w:val="both"/>
        <w:rPr>
          <w:sz w:val="15"/>
          <w:szCs w:val="15"/>
        </w:rPr>
      </w:pPr>
      <w:r w:rsidRPr="00D336EC">
        <w:rPr>
          <w:w w:val="105"/>
          <w:sz w:val="15"/>
          <w:szCs w:val="15"/>
        </w:rPr>
        <w:t xml:space="preserve">in USD. The share prices are published in USD </w:t>
      </w:r>
      <w:r w:rsidR="0026198B">
        <w:rPr>
          <w:w w:val="105"/>
          <w:sz w:val="15"/>
          <w:szCs w:val="15"/>
        </w:rPr>
        <w:t>on each Business Day. T</w:t>
      </w:r>
      <w:r w:rsidRPr="00D336EC">
        <w:rPr>
          <w:w w:val="105"/>
          <w:sz w:val="15"/>
          <w:szCs w:val="15"/>
        </w:rPr>
        <w:t xml:space="preserve">he prices are available from the Investment Manager and the Manager during normal business hours and will be published on Prescient Fund Services (Ireland)’s website at </w:t>
      </w:r>
      <w:hyperlink r:id="rId10">
        <w:r w:rsidRPr="00D336EC">
          <w:rPr>
            <w:w w:val="105"/>
            <w:sz w:val="15"/>
            <w:szCs w:val="15"/>
          </w:rPr>
          <w:t>www.prescient.ie.</w:t>
        </w:r>
      </w:hyperlink>
    </w:p>
    <w:p w14:paraId="50A2422A" w14:textId="77777777" w:rsidR="00C45C92" w:rsidRPr="00D336EC" w:rsidRDefault="002C3844">
      <w:pPr>
        <w:pStyle w:val="BodyText"/>
        <w:spacing w:before="109" w:line="278" w:lineRule="auto"/>
        <w:ind w:left="154" w:right="38"/>
        <w:jc w:val="both"/>
        <w:rPr>
          <w:sz w:val="15"/>
          <w:szCs w:val="15"/>
        </w:rPr>
      </w:pPr>
      <w:r w:rsidRPr="00D336EC">
        <w:rPr>
          <w:b/>
          <w:w w:val="105"/>
          <w:sz w:val="15"/>
          <w:szCs w:val="15"/>
        </w:rPr>
        <w:t xml:space="preserve">Taxation: </w:t>
      </w:r>
      <w:r w:rsidRPr="00D336EC">
        <w:rPr>
          <w:w w:val="105"/>
          <w:sz w:val="15"/>
          <w:szCs w:val="15"/>
        </w:rPr>
        <w:t>The Fund is subject to tax laws and regulations of Ireland. Depending on your home country of residence, this might have an impact on your investment. For further details, please speak to an</w:t>
      </w:r>
      <w:r w:rsidRPr="00D336EC">
        <w:rPr>
          <w:spacing w:val="-20"/>
          <w:w w:val="105"/>
          <w:sz w:val="15"/>
          <w:szCs w:val="15"/>
        </w:rPr>
        <w:t xml:space="preserve"> </w:t>
      </w:r>
      <w:r w:rsidRPr="00D336EC">
        <w:rPr>
          <w:w w:val="105"/>
          <w:sz w:val="15"/>
          <w:szCs w:val="15"/>
        </w:rPr>
        <w:t>adviser.</w:t>
      </w:r>
    </w:p>
    <w:p w14:paraId="7BD11C79" w14:textId="01F0F07E" w:rsidR="00C45C92" w:rsidRPr="00931F61" w:rsidRDefault="0026198B">
      <w:pPr>
        <w:pStyle w:val="BodyText"/>
        <w:spacing w:before="88" w:line="276" w:lineRule="auto"/>
        <w:ind w:left="154" w:right="39"/>
        <w:jc w:val="both"/>
        <w:rPr>
          <w:sz w:val="15"/>
          <w:szCs w:val="15"/>
        </w:rPr>
      </w:pPr>
      <w:r>
        <w:rPr>
          <w:b/>
          <w:w w:val="105"/>
          <w:sz w:val="15"/>
          <w:szCs w:val="15"/>
        </w:rPr>
        <w:t>S</w:t>
      </w:r>
      <w:r w:rsidR="002C3844" w:rsidRPr="00D336EC">
        <w:rPr>
          <w:b/>
          <w:w w:val="105"/>
          <w:sz w:val="15"/>
          <w:szCs w:val="15"/>
        </w:rPr>
        <w:t xml:space="preserve">witches: </w:t>
      </w:r>
      <w:r w:rsidR="002C3844" w:rsidRPr="00D336EC">
        <w:rPr>
          <w:w w:val="105"/>
          <w:sz w:val="15"/>
          <w:szCs w:val="15"/>
        </w:rPr>
        <w:t>You are entitled to switch your shares to shares in another class of the Fund or into a class of another sub-fund of</w:t>
      </w:r>
      <w:r w:rsidR="00A70DBB">
        <w:rPr>
          <w:w w:val="105"/>
          <w:sz w:val="15"/>
          <w:szCs w:val="15"/>
        </w:rPr>
        <w:t xml:space="preserve"> Osmosis</w:t>
      </w:r>
      <w:r w:rsidR="002C3844" w:rsidRPr="00D336EC">
        <w:rPr>
          <w:w w:val="105"/>
          <w:sz w:val="15"/>
          <w:szCs w:val="15"/>
        </w:rPr>
        <w:t xml:space="preserve"> ICAV, subject to the sub-fund’s switching charge - see under “Charges for this Fund”. Please refer</w:t>
      </w:r>
      <w:r w:rsidR="002C3844" w:rsidRPr="00D336EC">
        <w:rPr>
          <w:spacing w:val="-15"/>
          <w:w w:val="105"/>
          <w:sz w:val="15"/>
          <w:szCs w:val="15"/>
        </w:rPr>
        <w:t xml:space="preserve"> </w:t>
      </w:r>
      <w:r w:rsidR="002C3844" w:rsidRPr="00D336EC">
        <w:rPr>
          <w:w w:val="105"/>
          <w:sz w:val="15"/>
          <w:szCs w:val="15"/>
        </w:rPr>
        <w:t xml:space="preserve">to the </w:t>
      </w:r>
      <w:r w:rsidR="002C3844" w:rsidRPr="00931F61">
        <w:rPr>
          <w:w w:val="105"/>
          <w:sz w:val="15"/>
          <w:szCs w:val="15"/>
        </w:rPr>
        <w:t>Prospectus for further information on how to</w:t>
      </w:r>
      <w:r w:rsidR="002C3844" w:rsidRPr="00931F61">
        <w:rPr>
          <w:spacing w:val="-12"/>
          <w:w w:val="105"/>
          <w:sz w:val="15"/>
          <w:szCs w:val="15"/>
        </w:rPr>
        <w:t xml:space="preserve"> </w:t>
      </w:r>
      <w:r w:rsidR="002C3844" w:rsidRPr="00931F61">
        <w:rPr>
          <w:w w:val="105"/>
          <w:sz w:val="15"/>
          <w:szCs w:val="15"/>
        </w:rPr>
        <w:t>switch.</w:t>
      </w:r>
    </w:p>
    <w:p w14:paraId="203E3848" w14:textId="3BAC198B" w:rsidR="00C45C92" w:rsidRPr="00931F61" w:rsidRDefault="002C3844" w:rsidP="00AE5035">
      <w:pPr>
        <w:spacing w:before="90"/>
        <w:ind w:firstLine="154"/>
        <w:jc w:val="both"/>
        <w:rPr>
          <w:sz w:val="15"/>
          <w:szCs w:val="15"/>
        </w:rPr>
      </w:pPr>
      <w:r w:rsidRPr="00931F61">
        <w:rPr>
          <w:b/>
          <w:w w:val="105"/>
          <w:sz w:val="15"/>
          <w:szCs w:val="15"/>
        </w:rPr>
        <w:t xml:space="preserve">Fund Structure: </w:t>
      </w:r>
      <w:r w:rsidRPr="00931F61">
        <w:rPr>
          <w:w w:val="105"/>
          <w:sz w:val="15"/>
          <w:szCs w:val="15"/>
        </w:rPr>
        <w:t>This document describes a share class of the</w:t>
      </w:r>
    </w:p>
    <w:p w14:paraId="7BBD47DC" w14:textId="53F88501" w:rsidR="00C45C92" w:rsidRPr="00931F61" w:rsidRDefault="0026198B" w:rsidP="006D057B">
      <w:pPr>
        <w:pStyle w:val="BodyText"/>
        <w:spacing w:before="53" w:line="276" w:lineRule="auto"/>
        <w:ind w:left="154" w:right="136"/>
        <w:jc w:val="both"/>
        <w:rPr>
          <w:sz w:val="15"/>
          <w:szCs w:val="15"/>
        </w:rPr>
      </w:pPr>
      <w:r w:rsidRPr="0026198B">
        <w:rPr>
          <w:w w:val="105"/>
          <w:sz w:val="15"/>
          <w:szCs w:val="15"/>
        </w:rPr>
        <w:t>Osmosis Resource Efficient Equity Market Neutral Fund</w:t>
      </w:r>
      <w:r w:rsidR="002C3844" w:rsidRPr="00931F61">
        <w:rPr>
          <w:w w:val="105"/>
          <w:sz w:val="15"/>
          <w:szCs w:val="15"/>
        </w:rPr>
        <w:t>, a sub-</w:t>
      </w:r>
      <w:r>
        <w:rPr>
          <w:w w:val="105"/>
          <w:sz w:val="15"/>
          <w:szCs w:val="15"/>
        </w:rPr>
        <w:t>f</w:t>
      </w:r>
      <w:r w:rsidR="002C3844" w:rsidRPr="00931F61">
        <w:rPr>
          <w:w w:val="105"/>
          <w:sz w:val="15"/>
          <w:szCs w:val="15"/>
        </w:rPr>
        <w:t xml:space="preserve">und of </w:t>
      </w:r>
      <w:r w:rsidR="00A70DBB" w:rsidRPr="00931F61">
        <w:rPr>
          <w:w w:val="105"/>
          <w:sz w:val="15"/>
          <w:szCs w:val="15"/>
        </w:rPr>
        <w:t>Osmosis</w:t>
      </w:r>
      <w:r w:rsidR="002C3844" w:rsidRPr="00931F61">
        <w:rPr>
          <w:spacing w:val="-5"/>
          <w:w w:val="105"/>
          <w:sz w:val="15"/>
          <w:szCs w:val="15"/>
        </w:rPr>
        <w:t xml:space="preserve"> </w:t>
      </w:r>
      <w:proofErr w:type="spellStart"/>
      <w:r w:rsidR="002C3844" w:rsidRPr="00931F61">
        <w:rPr>
          <w:w w:val="105"/>
          <w:sz w:val="15"/>
          <w:szCs w:val="15"/>
        </w:rPr>
        <w:t>ICAV.The</w:t>
      </w:r>
      <w:proofErr w:type="spellEnd"/>
      <w:r w:rsidR="002C3844" w:rsidRPr="00931F61">
        <w:rPr>
          <w:w w:val="105"/>
          <w:sz w:val="15"/>
          <w:szCs w:val="15"/>
        </w:rPr>
        <w:t xml:space="preserve"> assets and liabilities of each sub-Fund of </w:t>
      </w:r>
      <w:r w:rsidR="00A70DBB" w:rsidRPr="00931F61">
        <w:rPr>
          <w:w w:val="105"/>
          <w:sz w:val="15"/>
          <w:szCs w:val="15"/>
        </w:rPr>
        <w:t>Osmosis</w:t>
      </w:r>
      <w:r w:rsidR="002C3844" w:rsidRPr="00931F61">
        <w:rPr>
          <w:w w:val="105"/>
          <w:sz w:val="15"/>
          <w:szCs w:val="15"/>
        </w:rPr>
        <w:t xml:space="preserve"> ICAV are segregated subject to the provisions of Irish law. The Prospectus is prepared for </w:t>
      </w:r>
      <w:r w:rsidR="00A70DBB" w:rsidRPr="00931F61">
        <w:rPr>
          <w:w w:val="105"/>
          <w:sz w:val="15"/>
          <w:szCs w:val="15"/>
        </w:rPr>
        <w:t>Osmosis</w:t>
      </w:r>
      <w:r w:rsidR="002C3844" w:rsidRPr="00931F61">
        <w:rPr>
          <w:w w:val="105"/>
          <w:sz w:val="15"/>
          <w:szCs w:val="15"/>
        </w:rPr>
        <w:t xml:space="preserve"> ICAV in its entirety. The ICAV may prepare separate periodic reports with respect to each sub-fund of the ICAV or periodic reports for the umbrella ICAV. You can find out more information about </w:t>
      </w:r>
      <w:r w:rsidR="00A70DBB" w:rsidRPr="00931F61">
        <w:rPr>
          <w:w w:val="105"/>
          <w:sz w:val="15"/>
          <w:szCs w:val="15"/>
        </w:rPr>
        <w:t>Osmosis</w:t>
      </w:r>
      <w:r w:rsidR="002C3844" w:rsidRPr="00931F61">
        <w:rPr>
          <w:w w:val="105"/>
          <w:sz w:val="15"/>
          <w:szCs w:val="15"/>
        </w:rPr>
        <w:t xml:space="preserve"> ICAV in the Prospectus.</w:t>
      </w:r>
    </w:p>
    <w:p w14:paraId="277AB916" w14:textId="77777777" w:rsidR="00C45C92" w:rsidRPr="00931F61" w:rsidRDefault="00C45C92">
      <w:pPr>
        <w:pStyle w:val="BodyText"/>
        <w:spacing w:before="3"/>
        <w:rPr>
          <w:sz w:val="15"/>
          <w:szCs w:val="15"/>
        </w:rPr>
      </w:pPr>
    </w:p>
    <w:p w14:paraId="2A1B45B4" w14:textId="77777777" w:rsidR="00C45C92" w:rsidRPr="00931F61" w:rsidRDefault="002C3844">
      <w:pPr>
        <w:pStyle w:val="BodyText"/>
        <w:spacing w:line="276" w:lineRule="auto"/>
        <w:ind w:left="154" w:right="132"/>
        <w:jc w:val="both"/>
        <w:rPr>
          <w:sz w:val="15"/>
          <w:szCs w:val="15"/>
        </w:rPr>
      </w:pPr>
      <w:r w:rsidRPr="00931F61">
        <w:rPr>
          <w:b/>
          <w:w w:val="105"/>
          <w:sz w:val="15"/>
          <w:szCs w:val="15"/>
        </w:rPr>
        <w:t xml:space="preserve">Remuneration: </w:t>
      </w:r>
      <w:r w:rsidRPr="00931F61">
        <w:rPr>
          <w:w w:val="105"/>
          <w:sz w:val="15"/>
          <w:szCs w:val="15"/>
        </w:rPr>
        <w:t xml:space="preserve">Details of the up-to-date remuneration policy of the Manager, including, but not limited to, a description of how remuneration and benefits are calculated, the identity of persons responsible for awarding the remuneration and benefits including the composition of the remuneration committee, if any, are available at </w:t>
      </w:r>
      <w:hyperlink r:id="rId11">
        <w:r w:rsidRPr="00931F61">
          <w:rPr>
            <w:w w:val="105"/>
            <w:sz w:val="15"/>
            <w:szCs w:val="15"/>
          </w:rPr>
          <w:t>www.prescient.ie.</w:t>
        </w:r>
      </w:hyperlink>
      <w:r w:rsidRPr="00931F61">
        <w:rPr>
          <w:w w:val="105"/>
          <w:sz w:val="15"/>
          <w:szCs w:val="15"/>
        </w:rPr>
        <w:t xml:space="preserve"> A paper copy of the remuneration policy will be made available free of charge upon request from the Manager.</w:t>
      </w:r>
    </w:p>
    <w:p w14:paraId="1E1596E1" w14:textId="77777777" w:rsidR="00C45C92" w:rsidRPr="00931F61" w:rsidRDefault="00C45C92">
      <w:pPr>
        <w:pStyle w:val="BodyText"/>
        <w:spacing w:before="10"/>
        <w:rPr>
          <w:sz w:val="15"/>
          <w:szCs w:val="15"/>
        </w:rPr>
      </w:pPr>
    </w:p>
    <w:p w14:paraId="3D4A0610" w14:textId="3EBAB456" w:rsidR="00C45C92" w:rsidRPr="00931F61" w:rsidRDefault="002C3844">
      <w:pPr>
        <w:pStyle w:val="BodyText"/>
        <w:spacing w:line="276" w:lineRule="auto"/>
        <w:ind w:left="154" w:right="135"/>
        <w:jc w:val="both"/>
        <w:rPr>
          <w:sz w:val="15"/>
          <w:szCs w:val="15"/>
        </w:rPr>
      </w:pPr>
      <w:r w:rsidRPr="00931F61">
        <w:rPr>
          <w:b/>
          <w:w w:val="105"/>
          <w:sz w:val="15"/>
          <w:szCs w:val="15"/>
        </w:rPr>
        <w:t xml:space="preserve">Responsibility for Information: </w:t>
      </w:r>
      <w:r w:rsidRPr="00931F61">
        <w:rPr>
          <w:w w:val="105"/>
          <w:sz w:val="15"/>
          <w:szCs w:val="15"/>
        </w:rPr>
        <w:t>The</w:t>
      </w:r>
      <w:r w:rsidRPr="00931F61">
        <w:rPr>
          <w:spacing w:val="40"/>
          <w:w w:val="105"/>
          <w:sz w:val="15"/>
          <w:szCs w:val="15"/>
        </w:rPr>
        <w:t xml:space="preserve"> </w:t>
      </w:r>
      <w:r w:rsidRPr="00931F61">
        <w:rPr>
          <w:w w:val="105"/>
          <w:sz w:val="15"/>
          <w:szCs w:val="15"/>
        </w:rPr>
        <w:t>Manager may be held liable solely on the basis of any statement contained in this document that is misleading, inaccurate or inconsistent with the relevant parts of the Prospectus for the Fund.</w:t>
      </w:r>
    </w:p>
    <w:p w14:paraId="5BD762DC" w14:textId="77777777" w:rsidR="00C45C92" w:rsidRPr="00931F61" w:rsidRDefault="00C45C92">
      <w:pPr>
        <w:spacing w:line="276" w:lineRule="auto"/>
        <w:jc w:val="both"/>
        <w:rPr>
          <w:sz w:val="15"/>
          <w:szCs w:val="15"/>
        </w:rPr>
        <w:sectPr w:rsidR="00C45C92" w:rsidRPr="00931F61">
          <w:type w:val="continuous"/>
          <w:pgSz w:w="11910" w:h="16840"/>
          <w:pgMar w:top="580" w:right="360" w:bottom="280" w:left="280" w:header="720" w:footer="720" w:gutter="0"/>
          <w:cols w:num="2" w:space="720" w:equalWidth="0">
            <w:col w:w="5380" w:space="409"/>
            <w:col w:w="5481"/>
          </w:cols>
        </w:sectPr>
      </w:pPr>
    </w:p>
    <w:p w14:paraId="5A9FB85D" w14:textId="77777777" w:rsidR="00896A48" w:rsidRDefault="00896A48" w:rsidP="0026198B">
      <w:pPr>
        <w:pStyle w:val="BodyText"/>
        <w:spacing w:before="101" w:line="276" w:lineRule="auto"/>
        <w:ind w:right="105"/>
        <w:rPr>
          <w:w w:val="105"/>
          <w:sz w:val="15"/>
          <w:szCs w:val="15"/>
        </w:rPr>
      </w:pPr>
    </w:p>
    <w:p w14:paraId="48C4BABD" w14:textId="32BAB8C5" w:rsidR="00C45C92" w:rsidRPr="003D6C17" w:rsidRDefault="00A70DBB" w:rsidP="0026198B">
      <w:pPr>
        <w:pStyle w:val="BodyText"/>
        <w:spacing w:before="101" w:line="276" w:lineRule="auto"/>
        <w:ind w:right="105"/>
        <w:rPr>
          <w:w w:val="105"/>
          <w:sz w:val="15"/>
          <w:szCs w:val="15"/>
        </w:rPr>
      </w:pPr>
      <w:r w:rsidRPr="00931F61">
        <w:rPr>
          <w:w w:val="105"/>
          <w:sz w:val="15"/>
          <w:szCs w:val="15"/>
        </w:rPr>
        <w:t>Osmosis</w:t>
      </w:r>
      <w:r w:rsidR="002C3844" w:rsidRPr="00931F61">
        <w:rPr>
          <w:w w:val="105"/>
          <w:sz w:val="15"/>
          <w:szCs w:val="15"/>
        </w:rPr>
        <w:t xml:space="preserve"> ICAV was </w:t>
      </w:r>
      <w:proofErr w:type="spellStart"/>
      <w:r w:rsidR="002C3844" w:rsidRPr="00931F61">
        <w:rPr>
          <w:w w:val="105"/>
          <w:sz w:val="15"/>
          <w:szCs w:val="15"/>
        </w:rPr>
        <w:t>authorised</w:t>
      </w:r>
      <w:proofErr w:type="spellEnd"/>
      <w:r w:rsidR="002C3844" w:rsidRPr="00931F61">
        <w:rPr>
          <w:w w:val="105"/>
          <w:sz w:val="15"/>
          <w:szCs w:val="15"/>
        </w:rPr>
        <w:t xml:space="preserve"> with effect from 7 April 2017 pursuant to the UCITS Regulations. Prescient Fund Services (Ireland) Limited was </w:t>
      </w:r>
      <w:proofErr w:type="spellStart"/>
      <w:r w:rsidR="002C3844" w:rsidRPr="00931F61">
        <w:rPr>
          <w:w w:val="105"/>
          <w:sz w:val="15"/>
          <w:szCs w:val="15"/>
        </w:rPr>
        <w:t>authorised</w:t>
      </w:r>
      <w:proofErr w:type="spellEnd"/>
      <w:r w:rsidR="002C3844" w:rsidRPr="00931F61">
        <w:rPr>
          <w:w w:val="105"/>
          <w:sz w:val="15"/>
          <w:szCs w:val="15"/>
        </w:rPr>
        <w:t xml:space="preserve"> in Ireland on 18 March 2011 and is regulated by the Central Bank of Ireland.</w:t>
      </w:r>
      <w:r w:rsidR="0026198B">
        <w:rPr>
          <w:w w:val="105"/>
          <w:sz w:val="15"/>
          <w:szCs w:val="15"/>
        </w:rPr>
        <w:t xml:space="preserve"> </w:t>
      </w:r>
      <w:r w:rsidR="002C3844" w:rsidRPr="00931F61">
        <w:rPr>
          <w:w w:val="105"/>
          <w:sz w:val="15"/>
          <w:szCs w:val="15"/>
        </w:rPr>
        <w:t>This Key Information Document is ac</w:t>
      </w:r>
      <w:r w:rsidR="0000042F">
        <w:rPr>
          <w:w w:val="105"/>
          <w:sz w:val="15"/>
          <w:szCs w:val="15"/>
        </w:rPr>
        <w:t xml:space="preserve">curate as at </w:t>
      </w:r>
      <w:r w:rsidR="00F91DD5">
        <w:rPr>
          <w:w w:val="105"/>
          <w:sz w:val="15"/>
          <w:szCs w:val="15"/>
        </w:rPr>
        <w:t xml:space="preserve">12 </w:t>
      </w:r>
      <w:r w:rsidR="003D6C17">
        <w:rPr>
          <w:w w:val="105"/>
          <w:sz w:val="15"/>
          <w:szCs w:val="15"/>
        </w:rPr>
        <w:t>February, 2021</w:t>
      </w:r>
      <w:r w:rsidR="0000042F">
        <w:rPr>
          <w:w w:val="105"/>
          <w:sz w:val="15"/>
          <w:szCs w:val="15"/>
        </w:rPr>
        <w:t>.</w:t>
      </w:r>
    </w:p>
    <w:sectPr w:rsidR="00C45C92" w:rsidRPr="003D6C17">
      <w:type w:val="continuous"/>
      <w:pgSz w:w="11910" w:h="16840"/>
      <w:pgMar w:top="580" w:right="360" w:bottom="280" w:left="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3F14E" w14:textId="77777777" w:rsidR="00747805" w:rsidRDefault="00747805" w:rsidP="00747805">
      <w:r>
        <w:separator/>
      </w:r>
    </w:p>
  </w:endnote>
  <w:endnote w:type="continuationSeparator" w:id="0">
    <w:p w14:paraId="6A71D1BE" w14:textId="77777777" w:rsidR="00747805" w:rsidRDefault="00747805" w:rsidP="0074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17D7A" w14:textId="77777777" w:rsidR="00747805" w:rsidRDefault="00747805" w:rsidP="00747805">
      <w:r>
        <w:separator/>
      </w:r>
    </w:p>
  </w:footnote>
  <w:footnote w:type="continuationSeparator" w:id="0">
    <w:p w14:paraId="385B8519" w14:textId="77777777" w:rsidR="00747805" w:rsidRDefault="00747805" w:rsidP="00747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72B98"/>
    <w:multiLevelType w:val="hybridMultilevel"/>
    <w:tmpl w:val="5CDCE6C0"/>
    <w:lvl w:ilvl="0" w:tplc="EC0ACA42">
      <w:numFmt w:val="bullet"/>
      <w:lvlText w:val="•"/>
      <w:lvlJc w:val="left"/>
      <w:pPr>
        <w:ind w:left="154" w:hanging="101"/>
      </w:pPr>
      <w:rPr>
        <w:rFonts w:ascii="Arial" w:eastAsia="Arial" w:hAnsi="Arial" w:cs="Arial" w:hint="default"/>
        <w:w w:val="104"/>
        <w:sz w:val="14"/>
        <w:szCs w:val="14"/>
      </w:rPr>
    </w:lvl>
    <w:lvl w:ilvl="1" w:tplc="FD822FD0">
      <w:numFmt w:val="bullet"/>
      <w:lvlText w:val="•"/>
      <w:lvlJc w:val="left"/>
      <w:pPr>
        <w:ind w:left="682" w:hanging="101"/>
      </w:pPr>
      <w:rPr>
        <w:rFonts w:hint="default"/>
      </w:rPr>
    </w:lvl>
    <w:lvl w:ilvl="2" w:tplc="A9440DD6">
      <w:numFmt w:val="bullet"/>
      <w:lvlText w:val="•"/>
      <w:lvlJc w:val="left"/>
      <w:pPr>
        <w:ind w:left="1204" w:hanging="101"/>
      </w:pPr>
      <w:rPr>
        <w:rFonts w:hint="default"/>
      </w:rPr>
    </w:lvl>
    <w:lvl w:ilvl="3" w:tplc="274618E8">
      <w:numFmt w:val="bullet"/>
      <w:lvlText w:val="•"/>
      <w:lvlJc w:val="left"/>
      <w:pPr>
        <w:ind w:left="1726" w:hanging="101"/>
      </w:pPr>
      <w:rPr>
        <w:rFonts w:hint="default"/>
      </w:rPr>
    </w:lvl>
    <w:lvl w:ilvl="4" w:tplc="CF6E40EC">
      <w:numFmt w:val="bullet"/>
      <w:lvlText w:val="•"/>
      <w:lvlJc w:val="left"/>
      <w:pPr>
        <w:ind w:left="2248" w:hanging="101"/>
      </w:pPr>
      <w:rPr>
        <w:rFonts w:hint="default"/>
      </w:rPr>
    </w:lvl>
    <w:lvl w:ilvl="5" w:tplc="EA86BDE4">
      <w:numFmt w:val="bullet"/>
      <w:lvlText w:val="•"/>
      <w:lvlJc w:val="left"/>
      <w:pPr>
        <w:ind w:left="2770" w:hanging="101"/>
      </w:pPr>
      <w:rPr>
        <w:rFonts w:hint="default"/>
      </w:rPr>
    </w:lvl>
    <w:lvl w:ilvl="6" w:tplc="7F2428E2">
      <w:numFmt w:val="bullet"/>
      <w:lvlText w:val="•"/>
      <w:lvlJc w:val="left"/>
      <w:pPr>
        <w:ind w:left="3292" w:hanging="101"/>
      </w:pPr>
      <w:rPr>
        <w:rFonts w:hint="default"/>
      </w:rPr>
    </w:lvl>
    <w:lvl w:ilvl="7" w:tplc="CA98AFE2">
      <w:numFmt w:val="bullet"/>
      <w:lvlText w:val="•"/>
      <w:lvlJc w:val="left"/>
      <w:pPr>
        <w:ind w:left="3814" w:hanging="101"/>
      </w:pPr>
      <w:rPr>
        <w:rFonts w:hint="default"/>
      </w:rPr>
    </w:lvl>
    <w:lvl w:ilvl="8" w:tplc="FAD8BE38">
      <w:numFmt w:val="bullet"/>
      <w:lvlText w:val="•"/>
      <w:lvlJc w:val="left"/>
      <w:pPr>
        <w:ind w:left="4336" w:hanging="10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PIM_Brand" w:val="D9"/>
  </w:docVars>
  <w:rsids>
    <w:rsidRoot w:val="00C45C92"/>
    <w:rsid w:val="0000042F"/>
    <w:rsid w:val="000B4F8F"/>
    <w:rsid w:val="0026198B"/>
    <w:rsid w:val="002C3844"/>
    <w:rsid w:val="002D50F3"/>
    <w:rsid w:val="002E0477"/>
    <w:rsid w:val="003D6C17"/>
    <w:rsid w:val="00473FE1"/>
    <w:rsid w:val="004E1281"/>
    <w:rsid w:val="006122B6"/>
    <w:rsid w:val="00676986"/>
    <w:rsid w:val="006C4003"/>
    <w:rsid w:val="006D057B"/>
    <w:rsid w:val="006D74D4"/>
    <w:rsid w:val="00747805"/>
    <w:rsid w:val="007D7B61"/>
    <w:rsid w:val="00896A48"/>
    <w:rsid w:val="00931F61"/>
    <w:rsid w:val="009D23B0"/>
    <w:rsid w:val="00A70DBB"/>
    <w:rsid w:val="00AE5035"/>
    <w:rsid w:val="00B4356C"/>
    <w:rsid w:val="00C45C92"/>
    <w:rsid w:val="00D336EC"/>
    <w:rsid w:val="00DE6291"/>
    <w:rsid w:val="00E827E8"/>
    <w:rsid w:val="00E85E0E"/>
    <w:rsid w:val="00F87F3E"/>
    <w:rsid w:val="00F91DD5"/>
    <w:rsid w:val="00FD5C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7275A5"/>
  <w15:docId w15:val="{1A431357-2132-4021-AB8C-7F3FEBA15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76"/>
      <w:outlineLvl w:val="0"/>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4"/>
      <w:szCs w:val="14"/>
    </w:rPr>
  </w:style>
  <w:style w:type="paragraph" w:styleId="ListParagraph">
    <w:name w:val="List Paragraph"/>
    <w:basedOn w:val="Normal"/>
    <w:uiPriority w:val="1"/>
    <w:qFormat/>
    <w:pPr>
      <w:ind w:left="154" w:right="134"/>
      <w:jc w:val="both"/>
    </w:pPr>
  </w:style>
  <w:style w:type="paragraph" w:customStyle="1" w:styleId="TableParagraph">
    <w:name w:val="Table Paragraph"/>
    <w:basedOn w:val="Normal"/>
    <w:uiPriority w:val="1"/>
    <w:qFormat/>
    <w:pPr>
      <w:spacing w:before="112"/>
      <w:ind w:left="30"/>
    </w:pPr>
  </w:style>
  <w:style w:type="table" w:styleId="TableGrid">
    <w:name w:val="Table Grid"/>
    <w:basedOn w:val="TableNormal"/>
    <w:uiPriority w:val="39"/>
    <w:rsid w:val="002C3844"/>
    <w:pPr>
      <w:widowControl/>
      <w:autoSpaceDE/>
      <w:autoSpaceDN/>
    </w:pPr>
    <w:rPr>
      <w:rFonts w:ascii="Arial" w:hAnsi="Arial" w:cs="Arial"/>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38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844"/>
    <w:rPr>
      <w:rFonts w:ascii="Segoe UI" w:eastAsia="Arial" w:hAnsi="Segoe UI" w:cs="Segoe UI"/>
      <w:sz w:val="18"/>
      <w:szCs w:val="18"/>
    </w:rPr>
  </w:style>
  <w:style w:type="character" w:customStyle="1" w:styleId="BodyTextChar">
    <w:name w:val="Body Text Char"/>
    <w:basedOn w:val="DefaultParagraphFont"/>
    <w:link w:val="BodyText"/>
    <w:uiPriority w:val="1"/>
    <w:rsid w:val="002C3844"/>
    <w:rPr>
      <w:rFonts w:ascii="Arial" w:eastAsia="Arial" w:hAnsi="Arial" w:cs="Arial"/>
      <w:sz w:val="14"/>
      <w:szCs w:val="14"/>
    </w:rPr>
  </w:style>
  <w:style w:type="paragraph" w:styleId="TOC1">
    <w:name w:val="toc 1"/>
    <w:basedOn w:val="Normal"/>
    <w:next w:val="Normal"/>
    <w:autoRedefine/>
    <w:uiPriority w:val="39"/>
    <w:semiHidden/>
    <w:unhideWhenUsed/>
    <w:rsid w:val="00A70DBB"/>
    <w:pPr>
      <w:spacing w:after="100"/>
    </w:pPr>
  </w:style>
  <w:style w:type="paragraph" w:styleId="Header">
    <w:name w:val="header"/>
    <w:basedOn w:val="Normal"/>
    <w:link w:val="HeaderChar"/>
    <w:uiPriority w:val="99"/>
    <w:unhideWhenUsed/>
    <w:rsid w:val="00747805"/>
    <w:pPr>
      <w:tabs>
        <w:tab w:val="center" w:pos="4513"/>
        <w:tab w:val="right" w:pos="9026"/>
      </w:tabs>
    </w:pPr>
  </w:style>
  <w:style w:type="character" w:customStyle="1" w:styleId="HeaderChar">
    <w:name w:val="Header Char"/>
    <w:basedOn w:val="DefaultParagraphFont"/>
    <w:link w:val="Header"/>
    <w:uiPriority w:val="99"/>
    <w:rsid w:val="00747805"/>
    <w:rPr>
      <w:rFonts w:ascii="Arial" w:eastAsia="Arial" w:hAnsi="Arial" w:cs="Arial"/>
    </w:rPr>
  </w:style>
  <w:style w:type="paragraph" w:styleId="Footer">
    <w:name w:val="footer"/>
    <w:basedOn w:val="Normal"/>
    <w:link w:val="FooterChar"/>
    <w:uiPriority w:val="99"/>
    <w:unhideWhenUsed/>
    <w:rsid w:val="00747805"/>
    <w:pPr>
      <w:tabs>
        <w:tab w:val="center" w:pos="4513"/>
        <w:tab w:val="right" w:pos="9026"/>
      </w:tabs>
    </w:pPr>
  </w:style>
  <w:style w:type="character" w:customStyle="1" w:styleId="FooterChar">
    <w:name w:val="Footer Char"/>
    <w:basedOn w:val="DefaultParagraphFont"/>
    <w:link w:val="Footer"/>
    <w:uiPriority w:val="99"/>
    <w:rsid w:val="0074780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cient.ie/" TargetMode="External"/><Relationship Id="rId5" Type="http://schemas.openxmlformats.org/officeDocument/2006/relationships/footnotes" Target="footnotes.xml"/><Relationship Id="rId10" Type="http://schemas.openxmlformats.org/officeDocument/2006/relationships/hyperlink" Target="http://www.prescient.ie/" TargetMode="External"/><Relationship Id="rId4" Type="http://schemas.openxmlformats.org/officeDocument/2006/relationships/webSettings" Target="webSettings.xml"/><Relationship Id="rId9" Type="http://schemas.openxmlformats.org/officeDocument/2006/relationships/hyperlink" Target="http://www.prescien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Osmosis MoRE Sust Market Neutral KIID Jun 2018.xlsx</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Osmosis MoRE Sust Market Neutral KIID Jun 2018.xlsx</dc:title>
  <dc:creator>grant.jacobi</dc:creator>
  <cp:lastModifiedBy>Emma Lally</cp:lastModifiedBy>
  <cp:revision>5</cp:revision>
  <cp:lastPrinted>2020-02-14T15:17:00Z</cp:lastPrinted>
  <dcterms:created xsi:type="dcterms:W3CDTF">2020-06-25T13:37:00Z</dcterms:created>
  <dcterms:modified xsi:type="dcterms:W3CDTF">2021-02-12T16:45:00Z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Creator">
    <vt:lpwstr>PScript5.dll Version 5.2.2</vt:lpwstr>
  </property>
  <property fmtid="{D5CDD505-2E9C-101B-9397-08002B2CF9AE}" pid="4" name="LastSaved">
    <vt:filetime>2020-02-14T00:00:00Z</vt:filetime>
  </property>
</Properties>
</file>