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3E8" w14:textId="325AA615" w:rsidR="00F026DD" w:rsidRDefault="00864CBE">
      <w:pPr>
        <w:pStyle w:val="BodyText"/>
        <w:ind w:left="116"/>
        <w:rPr>
          <w:rFonts w:ascii="Times New Roman"/>
          <w:sz w:val="20"/>
        </w:rPr>
      </w:pPr>
      <w:r>
        <w:rPr>
          <w:noProof/>
        </w:rPr>
        <w:drawing>
          <wp:anchor distT="0" distB="0" distL="114300" distR="114300" simplePos="0" relativeHeight="251681792" behindDoc="0" locked="0" layoutInCell="1" allowOverlap="1" wp14:anchorId="5AA24A9F" wp14:editId="697B5DB6">
            <wp:simplePos x="0" y="0"/>
            <wp:positionH relativeFrom="page">
              <wp:align>left</wp:align>
            </wp:positionH>
            <wp:positionV relativeFrom="paragraph">
              <wp:posOffset>-334010</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anchor>
        </w:drawing>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615F59E7" w:rsidR="00F026DD" w:rsidRDefault="001442EE">
                              <w:pPr>
                                <w:spacing w:before="97"/>
                                <w:ind w:left="23"/>
                                <w:rPr>
                                  <w:b/>
                                  <w:sz w:val="16"/>
                                </w:rPr>
                              </w:pPr>
                              <w:r w:rsidRPr="001442EE">
                                <w:t xml:space="preserve"> </w:t>
                              </w:r>
                              <w:r w:rsidRPr="001442EE">
                                <w:rPr>
                                  <w:b/>
                                  <w:sz w:val="16"/>
                                </w:rPr>
                                <w:t>(ISIN: IE00BG08NL78, Share Class: D USD)</w:t>
                              </w:r>
                            </w:p>
                            <w:p w14:paraId="0B5516E6" w14:textId="300568EE" w:rsidR="00F026DD" w:rsidRDefault="00560D62">
                              <w:pPr>
                                <w:spacing w:before="125"/>
                                <w:ind w:left="23"/>
                                <w:rPr>
                                  <w:b/>
                                  <w:sz w:val="16"/>
                                </w:rPr>
                              </w:pPr>
                              <w:r>
                                <w:rPr>
                                  <w:b/>
                                  <w:sz w:val="16"/>
                                </w:rPr>
                                <w:t>This Fund is managed by Prescient Fund Services (Ireland) Limited</w:t>
                              </w:r>
                              <w:r w:rsidR="00145CA7">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615F59E7" w:rsidR="00F026DD" w:rsidRDefault="001442EE">
                        <w:pPr>
                          <w:spacing w:before="97"/>
                          <w:ind w:left="23"/>
                          <w:rPr>
                            <w:b/>
                            <w:sz w:val="16"/>
                          </w:rPr>
                        </w:pPr>
                        <w:r w:rsidRPr="001442EE">
                          <w:t xml:space="preserve"> </w:t>
                        </w:r>
                        <w:r w:rsidRPr="001442EE">
                          <w:rPr>
                            <w:b/>
                            <w:sz w:val="16"/>
                          </w:rPr>
                          <w:t>(ISIN: IE00BG08NL78, Share Class: D USD)</w:t>
                        </w:r>
                      </w:p>
                      <w:p w14:paraId="0B5516E6" w14:textId="300568EE" w:rsidR="00F026DD" w:rsidRDefault="00560D62">
                        <w:pPr>
                          <w:spacing w:before="125"/>
                          <w:ind w:left="23"/>
                          <w:rPr>
                            <w:b/>
                            <w:sz w:val="16"/>
                          </w:rPr>
                        </w:pPr>
                        <w:r>
                          <w:rPr>
                            <w:b/>
                            <w:sz w:val="16"/>
                          </w:rPr>
                          <w:t>This Fund is managed by Prescient Fund Services (Ireland) Limited</w:t>
                        </w:r>
                        <w:r w:rsidR="00145CA7">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The Fund may also invest up to 10% of its net aset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459BCD"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1A6C1E">
        <w:trPr>
          <w:trHeight w:val="380"/>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tcPr>
          <w:p w14:paraId="2E306CD0" w14:textId="77777777" w:rsidR="00F026DD" w:rsidRPr="0088070D" w:rsidRDefault="00560D62">
            <w:pPr>
              <w:pStyle w:val="TableParagraph"/>
              <w:ind w:left="17"/>
              <w:jc w:val="center"/>
              <w:rPr>
                <w:b/>
                <w:sz w:val="20"/>
              </w:rPr>
            </w:pPr>
            <w:r w:rsidRPr="0088070D">
              <w:rPr>
                <w:b/>
                <w:color w:val="7F7F7F"/>
                <w:w w:val="99"/>
                <w:sz w:val="20"/>
              </w:rPr>
              <w:t>4</w:t>
            </w:r>
          </w:p>
        </w:tc>
        <w:tc>
          <w:tcPr>
            <w:tcW w:w="749" w:type="dxa"/>
            <w:shd w:val="clear" w:color="auto" w:fill="A6A6A6" w:themeFill="background1" w:themeFillShade="A6"/>
          </w:tcPr>
          <w:p w14:paraId="12CB33B1" w14:textId="77777777" w:rsidR="00F026DD" w:rsidRPr="002D10E8" w:rsidRDefault="00560D62">
            <w:pPr>
              <w:pStyle w:val="TableParagraph"/>
              <w:ind w:left="17"/>
              <w:jc w:val="center"/>
              <w:rPr>
                <w:b/>
                <w:color w:val="A6A6A6" w:themeColor="background1" w:themeShade="A6"/>
                <w:sz w:val="20"/>
              </w:rPr>
            </w:pPr>
            <w:r w:rsidRPr="001A6C1E">
              <w:rPr>
                <w:b/>
                <w:w w:val="99"/>
                <w:sz w:val="20"/>
              </w:rPr>
              <w:t>5</w:t>
            </w:r>
          </w:p>
        </w:tc>
        <w:tc>
          <w:tcPr>
            <w:tcW w:w="749" w:type="dxa"/>
            <w:shd w:val="clear" w:color="auto" w:fill="auto"/>
          </w:tcPr>
          <w:p w14:paraId="188AD5C2" w14:textId="77777777" w:rsidR="00F026DD" w:rsidRPr="001A6C1E" w:rsidRDefault="00560D62">
            <w:pPr>
              <w:pStyle w:val="TableParagraph"/>
              <w:ind w:left="17"/>
              <w:jc w:val="center"/>
              <w:rPr>
                <w:bCs/>
                <w:sz w:val="20"/>
              </w:rPr>
            </w:pPr>
            <w:r w:rsidRPr="001A6C1E">
              <w:rPr>
                <w:bCs/>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Liquidity Risk - the risk stemming from the lack of marketability of an investment that cannot be bought or sold quickly enough to prevent or minimise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CA48FDC"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8F625D">
                                    <w:rPr>
                                      <w:sz w:val="16"/>
                                    </w:rPr>
                                    <w:t>36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CA48FDC"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8F625D">
                              <w:rPr>
                                <w:sz w:val="16"/>
                              </w:rPr>
                              <w:t>36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40C663F3" w:rsidR="00F026DD" w:rsidRDefault="00560D62">
      <w:pPr>
        <w:pStyle w:val="BodyText"/>
        <w:spacing w:line="266" w:lineRule="auto"/>
        <w:ind w:left="5945" w:right="138"/>
        <w:jc w:val="both"/>
      </w:pPr>
      <w:r w:rsidRPr="0088070D">
        <w:t xml:space="preserve">The </w:t>
      </w:r>
      <w:r w:rsidR="00E16676" w:rsidRPr="00E16676">
        <w:t>ongoing charges figure is based on the expenses of the year ending 31 December 20</w:t>
      </w:r>
      <w:r w:rsidR="00992961">
        <w:t>2</w:t>
      </w:r>
      <w:r w:rsidR="006D7A44">
        <w:t>3</w:t>
      </w:r>
      <w:r w:rsidR="00E16676" w:rsidRPr="00E16676">
        <w:t>. This figure may vary from year to year. It excludes portfolio transaction costs, except in the case of an entry or exit charge paid by the UCITS when buying or selling units in another UCITS or collective investment undertaking.</w:t>
      </w:r>
    </w:p>
    <w:p w14:paraId="3C94FBAA" w14:textId="3A87812D" w:rsidR="00E16676" w:rsidRDefault="00E16676">
      <w:pPr>
        <w:pStyle w:val="BodyText"/>
        <w:spacing w:line="266" w:lineRule="auto"/>
        <w:ind w:left="5945" w:right="138"/>
        <w:jc w:val="both"/>
      </w:pPr>
    </w:p>
    <w:p w14:paraId="7B735BB5" w14:textId="77777777" w:rsidR="00E16676" w:rsidRPr="0088070D" w:rsidRDefault="00E16676">
      <w:pPr>
        <w:pStyle w:val="BodyText"/>
        <w:spacing w:line="266" w:lineRule="auto"/>
        <w:ind w:left="5945" w:right="138"/>
        <w:jc w:val="both"/>
      </w:pPr>
    </w:p>
    <w:p w14:paraId="2B847085" w14:textId="77777777" w:rsidR="00F026DD" w:rsidRPr="0088070D" w:rsidRDefault="00F026DD">
      <w:pPr>
        <w:pStyle w:val="BodyText"/>
        <w:rPr>
          <w:sz w:val="18"/>
        </w:rPr>
      </w:pPr>
    </w:p>
    <w:p w14:paraId="12DD58EA" w14:textId="77777777" w:rsidR="00F026DD" w:rsidRPr="0088070D" w:rsidRDefault="00F026DD">
      <w:pPr>
        <w:pStyle w:val="BodyText"/>
        <w:spacing w:before="1"/>
      </w:pPr>
    </w:p>
    <w:p w14:paraId="50A8BE22" w14:textId="77777777" w:rsidR="00F026DD" w:rsidRPr="0088070D" w:rsidRDefault="00560D62">
      <w:pPr>
        <w:pStyle w:val="BodyText"/>
        <w:spacing w:before="1"/>
        <w:ind w:left="156"/>
      </w:pPr>
      <w:r w:rsidRPr="0088070D">
        <w:t>You can find more details about the charges in the section of the Fund’s Prospectus entitled Fees and Expenses.</w:t>
      </w:r>
    </w:p>
    <w:p w14:paraId="7492EFDF" w14:textId="673875BA" w:rsidR="00F026DD" w:rsidRPr="0088070D" w:rsidRDefault="0051243B">
      <w:pPr>
        <w:pStyle w:val="BodyText"/>
        <w:spacing w:before="8"/>
        <w:rPr>
          <w:sz w:val="10"/>
        </w:rPr>
      </w:pPr>
      <w:r>
        <w:rPr>
          <w:noProof/>
        </w:rPr>
        <mc:AlternateContent>
          <mc:Choice Requires="wps">
            <w:drawing>
              <wp:anchor distT="0" distB="0" distL="0" distR="0" simplePos="0" relativeHeight="251666432" behindDoc="1" locked="0" layoutInCell="1" allowOverlap="1" wp14:anchorId="60ED8BB7" wp14:editId="0D06724C">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33C0C7F5" w14:textId="535CDB24" w:rsidR="001442EE" w:rsidRDefault="001442EE">
      <w:pPr>
        <w:pStyle w:val="BodyText"/>
        <w:rPr>
          <w:sz w:val="20"/>
        </w:rPr>
      </w:pPr>
    </w:p>
    <w:p w14:paraId="75201383" w14:textId="785750AD" w:rsidR="001442EE" w:rsidRPr="001442EE" w:rsidRDefault="00B95006" w:rsidP="001442EE">
      <w:pPr>
        <w:pStyle w:val="BodyText"/>
        <w:spacing w:before="1"/>
        <w:ind w:left="5760"/>
      </w:pPr>
      <w:r w:rsidRPr="0063468E">
        <w:rPr>
          <w:noProof/>
        </w:rPr>
        <w:drawing>
          <wp:anchor distT="0" distB="0" distL="114300" distR="114300" simplePos="0" relativeHeight="251683840" behindDoc="0" locked="0" layoutInCell="1" allowOverlap="1" wp14:anchorId="5204B429" wp14:editId="4339E0C9">
            <wp:simplePos x="0" y="0"/>
            <wp:positionH relativeFrom="column">
              <wp:posOffset>161925</wp:posOffset>
            </wp:positionH>
            <wp:positionV relativeFrom="paragraph">
              <wp:posOffset>6985</wp:posOffset>
            </wp:positionV>
            <wp:extent cx="3171825" cy="2228850"/>
            <wp:effectExtent l="0" t="0" r="9525" b="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442EE" w:rsidRPr="001442EE">
        <w:t>The chart shows the Fund's annual performance in USD for each full calendar year over the period displayed in the chart.  It is expressed as a percentage change of the Fund's net asset value at each year-end.</w:t>
      </w:r>
      <w:r w:rsidR="00E16676">
        <w:t xml:space="preserve"> </w:t>
      </w:r>
      <w:r w:rsidR="001442EE" w:rsidRPr="001442EE">
        <w:t>The Fund was launched in 2017 and this share class was launched in 2019.</w:t>
      </w:r>
    </w:p>
    <w:p w14:paraId="6A99771B" w14:textId="77777777" w:rsidR="001442EE" w:rsidRPr="001442EE" w:rsidRDefault="001442EE" w:rsidP="001442EE">
      <w:pPr>
        <w:pStyle w:val="BodyText"/>
        <w:spacing w:before="1"/>
        <w:ind w:left="156"/>
      </w:pPr>
    </w:p>
    <w:p w14:paraId="3FED14EF" w14:textId="6E3EBFF7" w:rsidR="001442EE" w:rsidRPr="001442EE" w:rsidRDefault="001442EE" w:rsidP="001442EE">
      <w:pPr>
        <w:pStyle w:val="BodyText"/>
        <w:spacing w:before="1"/>
        <w:ind w:left="5760"/>
      </w:pPr>
      <w:r w:rsidRPr="001442EE">
        <w:t>Performance is shown after deduction of ongoing charges. Any entry/exit charges are excluded from the calculation.</w:t>
      </w:r>
    </w:p>
    <w:p w14:paraId="0548F99B" w14:textId="6D254A17" w:rsidR="001442EE" w:rsidRPr="001442EE" w:rsidRDefault="001442EE" w:rsidP="001442EE">
      <w:pPr>
        <w:pStyle w:val="BodyText"/>
        <w:spacing w:before="1"/>
        <w:ind w:left="156"/>
      </w:pPr>
    </w:p>
    <w:p w14:paraId="424F27C0" w14:textId="1376FCB6" w:rsidR="001442EE" w:rsidRPr="001442EE" w:rsidRDefault="001442EE" w:rsidP="001442EE">
      <w:pPr>
        <w:pStyle w:val="BodyText"/>
        <w:spacing w:before="1"/>
        <w:ind w:left="5760"/>
      </w:pPr>
      <w:r w:rsidRPr="001442EE">
        <w:t>Past performance is based on the net asset value (NAV) of the Fund and is not a reliable indicator of future results</w:t>
      </w:r>
    </w:p>
    <w:p w14:paraId="0088CB19" w14:textId="77777777" w:rsidR="001442EE" w:rsidRDefault="001442EE">
      <w:pPr>
        <w:pStyle w:val="BodyText"/>
        <w:rPr>
          <w:sz w:val="20"/>
        </w:rPr>
      </w:pPr>
    </w:p>
    <w:p w14:paraId="44092FD4" w14:textId="60D97C0D" w:rsidR="00F026DD" w:rsidRPr="0088070D" w:rsidRDefault="00F026DD">
      <w:pPr>
        <w:pStyle w:val="BodyText"/>
        <w:rPr>
          <w:sz w:val="20"/>
        </w:rPr>
      </w:pPr>
    </w:p>
    <w:p w14:paraId="2F7CAE8F" w14:textId="72BF2FFA" w:rsidR="00F026DD" w:rsidRDefault="00F026DD">
      <w:pPr>
        <w:pStyle w:val="BodyText"/>
        <w:rPr>
          <w:sz w:val="20"/>
        </w:rPr>
      </w:pPr>
    </w:p>
    <w:p w14:paraId="5687858F" w14:textId="18E0E391" w:rsidR="001442EE" w:rsidRDefault="001442EE">
      <w:pPr>
        <w:pStyle w:val="BodyText"/>
        <w:rPr>
          <w:sz w:val="20"/>
        </w:rPr>
      </w:pPr>
    </w:p>
    <w:p w14:paraId="459ED09B" w14:textId="368FF991" w:rsidR="001442EE" w:rsidRDefault="001442EE">
      <w:pPr>
        <w:pStyle w:val="BodyText"/>
        <w:rPr>
          <w:sz w:val="20"/>
        </w:rPr>
      </w:pPr>
    </w:p>
    <w:p w14:paraId="6CFF451C" w14:textId="185093F6" w:rsidR="001442EE" w:rsidRDefault="001442EE">
      <w:pPr>
        <w:pStyle w:val="BodyText"/>
        <w:rPr>
          <w:sz w:val="20"/>
        </w:rPr>
      </w:pPr>
    </w:p>
    <w:p w14:paraId="019D9D37" w14:textId="50BAD823" w:rsidR="001442EE" w:rsidRDefault="001442EE">
      <w:pPr>
        <w:pStyle w:val="BodyText"/>
        <w:rPr>
          <w:sz w:val="20"/>
        </w:rPr>
      </w:pPr>
    </w:p>
    <w:p w14:paraId="75DAF80A" w14:textId="5E89B4AD"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00CA7434"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 </w:t>
      </w:r>
      <w:r w:rsidR="00992961">
        <w:t>35 Merrion Square East</w:t>
      </w:r>
      <w:r w:rsidRPr="0088070D">
        <w:t xml:space="preserve">, Dublin 2, Ireland or  by visiting </w:t>
      </w:r>
      <w:hyperlink r:id="rId9">
        <w:r w:rsidRPr="0088070D">
          <w:t>www.prescient.ie.</w:t>
        </w:r>
      </w:hyperlink>
    </w:p>
    <w:p w14:paraId="783B689D" w14:textId="054727D9"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USD. The share prices are published in USD on each Business Day. The prices are available from the Investment Manager  and  the  Manager during normal business hours and will be published on Prescient Fund Services (Ireland)’s website at </w:t>
      </w:r>
      <w:hyperlink r:id="rId10">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67ABBA34"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rPr>
          <w:b/>
        </w:rPr>
        <w:tab/>
      </w:r>
      <w:r w:rsidRPr="0088070D">
        <w:t xml:space="preserve">This document describes </w:t>
      </w:r>
      <w:r w:rsidR="00F91C2A">
        <w:t xml:space="preserve">the Class </w:t>
      </w:r>
      <w:r w:rsidR="001442EE">
        <w:t>D</w:t>
      </w:r>
      <w:r w:rsidR="00F91C2A">
        <w:t xml:space="preserve"> USD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w:t>
      </w:r>
      <w:r w:rsidR="00AD60E7">
        <w:t>D</w:t>
      </w:r>
      <w:r w:rsidR="00F91C2A">
        <w:t xml:space="preserve"> EUR and GBP </w:t>
      </w:r>
      <w:r w:rsidR="00F91C2A" w:rsidRPr="00F91C2A">
        <w:t xml:space="preserve">share classes of this Fund. Information relating to all of the share classes is available in the Prospectus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60298F8D" w14:textId="070BE71B" w:rsidR="001A6C1E" w:rsidRDefault="002F5A95" w:rsidP="001A6C1E">
      <w:pPr>
        <w:pStyle w:val="BodyText"/>
        <w:spacing w:before="140" w:line="266" w:lineRule="auto"/>
        <w:ind w:left="156" w:right="338"/>
      </w:pPr>
      <w:r w:rsidRPr="0088070D">
        <w:t>Osmosis</w:t>
      </w:r>
      <w:r w:rsidR="00560D62" w:rsidRPr="0088070D">
        <w:t xml:space="preserve"> ICAV was authorised with effect from 7 April 2017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Ireland.This Key Informati</w:t>
      </w:r>
      <w:r w:rsidRPr="0088070D">
        <w:t xml:space="preserve">on Document is accurate as at </w:t>
      </w:r>
      <w:r w:rsidR="006D7A44">
        <w:t>08</w:t>
      </w:r>
      <w:r w:rsidR="00953070">
        <w:t xml:space="preserve"> February 202</w:t>
      </w:r>
      <w:r w:rsidR="006D7A44">
        <w:t>4</w:t>
      </w:r>
      <w:r w:rsidR="00B95006">
        <w:t>.</w:t>
      </w:r>
    </w:p>
    <w:sectPr w:rsidR="001A6C1E">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16cid:durableId="80085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130480"/>
    <w:rsid w:val="001442EE"/>
    <w:rsid w:val="00145CA7"/>
    <w:rsid w:val="001A6C1E"/>
    <w:rsid w:val="001F1ECE"/>
    <w:rsid w:val="00242844"/>
    <w:rsid w:val="002D10E8"/>
    <w:rsid w:val="002F5A95"/>
    <w:rsid w:val="00364BE3"/>
    <w:rsid w:val="004868F3"/>
    <w:rsid w:val="004912A6"/>
    <w:rsid w:val="0051243B"/>
    <w:rsid w:val="00560D62"/>
    <w:rsid w:val="006103CF"/>
    <w:rsid w:val="006671E8"/>
    <w:rsid w:val="006D7A44"/>
    <w:rsid w:val="007768D7"/>
    <w:rsid w:val="00864CBE"/>
    <w:rsid w:val="0088070D"/>
    <w:rsid w:val="008F625D"/>
    <w:rsid w:val="00911253"/>
    <w:rsid w:val="00951AD0"/>
    <w:rsid w:val="00953070"/>
    <w:rsid w:val="00990941"/>
    <w:rsid w:val="00992961"/>
    <w:rsid w:val="00AD60E7"/>
    <w:rsid w:val="00B95006"/>
    <w:rsid w:val="00DA70C0"/>
    <w:rsid w:val="00E16676"/>
    <w:rsid w:val="00F026DD"/>
    <w:rsid w:val="00F91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145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A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Data!$A$2:$A$6</c:f>
              <c:strCache>
                <c:ptCount val="5"/>
                <c:pt idx="0">
                  <c:v>2019</c:v>
                </c:pt>
                <c:pt idx="1">
                  <c:v>2020</c:v>
                </c:pt>
                <c:pt idx="2">
                  <c:v>2021</c:v>
                </c:pt>
                <c:pt idx="3">
                  <c:v>2022</c:v>
                </c:pt>
                <c:pt idx="4">
                  <c:v>2023</c:v>
                </c:pt>
              </c:strCache>
            </c:strRef>
          </c:cat>
          <c:val>
            <c:numRef>
              <c:f>Data!$B$2:$B$6</c:f>
              <c:numCache>
                <c:formatCode>General</c:formatCode>
                <c:ptCount val="5"/>
                <c:pt idx="0">
                  <c:v>28.863455000599</c:v>
                </c:pt>
                <c:pt idx="1">
                  <c:v>4.5</c:v>
                </c:pt>
                <c:pt idx="2">
                  <c:v>24.8</c:v>
                </c:pt>
                <c:pt idx="3">
                  <c:v>-17.509089844742</c:v>
                </c:pt>
                <c:pt idx="4">
                  <c:v>22.74</c:v>
                </c:pt>
              </c:numCache>
            </c:numRef>
          </c:val>
          <c:extLst>
            <c:ext xmlns:c16="http://schemas.microsoft.com/office/drawing/2014/chart" uri="{C3380CC4-5D6E-409C-BE32-E72D297353CC}">
              <c16:uniqueId val="{00000000-F29D-4455-92CA-4C1EA2DD10A7}"/>
            </c:ext>
          </c:extLst>
        </c:ser>
        <c:ser>
          <c:idx val="1"/>
          <c:order val="1"/>
          <c:tx>
            <c:strRef>
              <c:f>Data!$C$1</c:f>
              <c:strCache>
                <c:ptCount val="1"/>
                <c:pt idx="0">
                  <c:v>MSCI World Index</c:v>
                </c:pt>
              </c:strCache>
            </c:strRef>
          </c:tx>
          <c:spPr>
            <a:solidFill>
              <a:srgbClr val="B3B3B3"/>
            </a:solidFill>
            <a:ln>
              <a:noFill/>
            </a:ln>
          </c:spPr>
          <c:invertIfNegative val="0"/>
          <c:cat>
            <c:strRef>
              <c:f>Data!$A$2:$A$6</c:f>
              <c:strCache>
                <c:ptCount val="5"/>
                <c:pt idx="0">
                  <c:v>2019</c:v>
                </c:pt>
                <c:pt idx="1">
                  <c:v>2020</c:v>
                </c:pt>
                <c:pt idx="2">
                  <c:v>2021</c:v>
                </c:pt>
                <c:pt idx="3">
                  <c:v>2022</c:v>
                </c:pt>
                <c:pt idx="4">
                  <c:v>2023</c:v>
                </c:pt>
              </c:strCache>
            </c:strRef>
          </c:cat>
          <c:val>
            <c:numRef>
              <c:f>Data!$C$2:$C$6</c:f>
              <c:numCache>
                <c:formatCode>General</c:formatCode>
                <c:ptCount val="5"/>
                <c:pt idx="0">
                  <c:v>25.190827538617999</c:v>
                </c:pt>
                <c:pt idx="1">
                  <c:v>14.058690591782</c:v>
                </c:pt>
                <c:pt idx="2">
                  <c:v>20.136875288098999</c:v>
                </c:pt>
                <c:pt idx="3">
                  <c:v>-19.464652059422999</c:v>
                </c:pt>
                <c:pt idx="4">
                  <c:v>23.89</c:v>
                </c:pt>
              </c:numCache>
            </c:numRef>
          </c:val>
          <c:extLst>
            <c:ext xmlns:c16="http://schemas.microsoft.com/office/drawing/2014/chart" uri="{C3380CC4-5D6E-409C-BE32-E72D297353CC}">
              <c16:uniqueId val="{00000001-F29D-4455-92CA-4C1EA2DD10A7}"/>
            </c:ext>
          </c:extLst>
        </c:ser>
        <c:dLbls>
          <c:showLegendKey val="0"/>
          <c:showVal val="0"/>
          <c:showCatName val="0"/>
          <c:showSerName val="0"/>
          <c:showPercent val="0"/>
          <c:showBubbleSize val="0"/>
        </c:dLbls>
        <c:gapWidth val="150"/>
        <c:axId val="186800712"/>
        <c:axId val="1"/>
      </c:barChart>
      <c:catAx>
        <c:axId val="186800712"/>
        <c:scaling>
          <c:orientation val="minMax"/>
        </c:scaling>
        <c:delete val="0"/>
        <c:axPos val="b"/>
        <c:numFmt formatCode="[$-409]General" sourceLinked="0"/>
        <c:majorTickMark val="out"/>
        <c:minorTickMark val="none"/>
        <c:tickLblPos val="low"/>
        <c:spPr>
          <a:ln w="12699">
            <a:solidFill>
              <a:srgbClr val="D3D3D3"/>
            </a:solidFill>
            <a:prstDash val="solid"/>
          </a:ln>
        </c:spPr>
        <c:txPr>
          <a:bodyPr rot="0"/>
          <a:lstStyle/>
          <a:p>
            <a:pPr>
              <a:defRPr sz="600" b="0" i="0" u="none" strike="noStrike" baseline="0">
                <a:solidFill>
                  <a:srgbClr val="000000"/>
                </a:solidFill>
                <a:latin typeface="Arial"/>
                <a:ea typeface="Arial"/>
              </a:defRPr>
            </a:pPr>
            <a:endParaRPr lang="en-US"/>
          </a:p>
        </c:txPr>
        <c:crossAx val="1"/>
        <c:crosses val="autoZero"/>
        <c:auto val="0"/>
        <c:lblAlgn val="ctr"/>
        <c:lblOffset val="100"/>
        <c:tickLblSkip val="1"/>
        <c:noMultiLvlLbl val="1"/>
      </c:catAx>
      <c:valAx>
        <c:axId val="1"/>
        <c:scaling>
          <c:orientation val="minMax"/>
          <c:max val="38.863455000599004"/>
          <c:min val="-20"/>
        </c:scaling>
        <c:delete val="0"/>
        <c:axPos val="l"/>
        <c:majorGridlines>
          <c:spPr>
            <a:ln w="12699">
              <a:solidFill>
                <a:srgbClr val="D3D3D3"/>
              </a:solidFill>
              <a:prstDash val="solid"/>
            </a:ln>
          </c:spPr>
        </c:majorGridlines>
        <c:title>
          <c:tx>
            <c:rich>
              <a:bodyPr/>
              <a:lstStyle/>
              <a:p>
                <a:pPr>
                  <a:defRPr sz="600" b="0" i="0" u="none" strike="noStrike" baseline="0">
                    <a:solidFill>
                      <a:srgbClr val="000000"/>
                    </a:solidFill>
                    <a:latin typeface="Arial"/>
                    <a:ea typeface="Arial"/>
                    <a:cs typeface="Arial"/>
                  </a:defRPr>
                </a:pPr>
                <a:r>
                  <a:rPr lang="en-IE"/>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ea typeface="Arial"/>
              </a:defRPr>
            </a:pPr>
            <a:endParaRPr lang="en-US"/>
          </a:p>
        </c:txPr>
        <c:crossAx val="186800712"/>
        <c:crosses val="autoZero"/>
        <c:crossBetween val="between"/>
        <c:majorUnit val="10"/>
        <c:minorUnit val="2"/>
      </c:valAx>
      <c:spPr>
        <a:noFill/>
        <a:ln w="25399">
          <a:noFill/>
        </a:ln>
      </c:spPr>
    </c:plotArea>
    <c:legend>
      <c:legendPos val="b"/>
      <c:overlay val="1"/>
      <c:spPr>
        <a:noFill/>
        <a:ln>
          <a:noFill/>
        </a:ln>
      </c:spPr>
      <c:txPr>
        <a:bodyPr/>
        <a:lstStyle/>
        <a:p>
          <a:pPr>
            <a:defRPr sz="600" b="0" i="0" u="none" strike="noStrike" baseline="0">
              <a:solidFill>
                <a:srgbClr val="000000"/>
              </a:solidFill>
              <a:latin typeface="Arial"/>
              <a:ea typeface="Arial"/>
            </a:defRPr>
          </a:pPr>
          <a:endParaRPr lang="en-US"/>
        </a:p>
      </c:txPr>
    </c:legend>
    <c:plotVisOnly val="1"/>
    <c:dispBlanksAs val="gap"/>
    <c:showDLblsOverMax val="1"/>
  </c:chart>
  <c:spPr>
    <a:noFill/>
    <a:ln w="12699">
      <a:solidFill>
        <a:srgbClr val="868686"/>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0.34828</cdr:x>
      <cdr:y>0.02226</cdr:y>
    </cdr:from>
    <cdr:to>
      <cdr:x>0.69426</cdr:x>
      <cdr:y>0.0637</cdr:y>
    </cdr:to>
    <cdr:sp macro="" textlink="">
      <cdr:nvSpPr>
        <cdr:cNvPr id="2" name="TextBox 1"/>
        <cdr:cNvSpPr txBox="1"/>
      </cdr:nvSpPr>
      <cdr:spPr>
        <a:xfrm xmlns:a="http://schemas.openxmlformats.org/drawingml/2006/main">
          <a:off x="1071497" y="47494"/>
          <a:ext cx="1064459" cy="88422"/>
        </a:xfrm>
        <a:prstGeom xmlns:a="http://schemas.openxmlformats.org/drawingml/2006/main" prst="rect">
          <a:avLst/>
        </a:prstGeom>
      </cdr:spPr>
      <cdr:txBody>
        <a:bodyPr xmlns:a="http://schemas.openxmlformats.org/drawingml/2006/main" wrap="none" lIns="0" tIns="0" rIns="0" bIns="0">
          <a:spAutoFit/>
        </a:bodyPr>
        <a:lstStyle xmlns:a="http://schemas.openxmlformats.org/drawingml/2006/main"/>
        <a:p xmlns:a="http://schemas.openxmlformats.org/drawingml/2006/main">
          <a:pPr algn="ctr">
            <a:defRPr sz="600" b="0" i="0" u="none" strike="noStrike" baseline="0">
              <a:solidFill>
                <a:srgbClr val="000000"/>
              </a:solidFill>
              <a:latin typeface="Arial"/>
              <a:ea typeface="Arial"/>
            </a:defRPr>
          </a:pPr>
          <a:r>
            <a:t>Osmosis Efficient Core Eq - D1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5</cp:revision>
  <dcterms:created xsi:type="dcterms:W3CDTF">2022-02-25T10:34:00Z</dcterms:created>
  <dcterms:modified xsi:type="dcterms:W3CDTF">2024-02-08T13:42:00Z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