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9300" w14:textId="77777777" w:rsidR="00B6604C" w:rsidRDefault="00B6604C">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374C9C8C" w14:textId="77777777">
        <w:trPr>
          <w:trHeight w:hRule="exact" w:val="226"/>
        </w:trPr>
        <w:tc>
          <w:tcPr>
            <w:tcW w:w="10544" w:type="dxa"/>
            <w:shd w:val="clear" w:color="auto" w:fill="auto"/>
            <w:noWrap/>
            <w:tcMar>
              <w:left w:w="56" w:type="dxa"/>
              <w:right w:w="56" w:type="dxa"/>
            </w:tcMar>
            <w:vAlign w:val="center"/>
          </w:tcPr>
          <w:p w14:paraId="751810E2" w14:textId="77777777" w:rsidR="00B6604C" w:rsidRDefault="00B6604C">
            <w:pPr>
              <w:keepNext/>
              <w:autoSpaceDE w:val="0"/>
              <w:autoSpaceDN w:val="0"/>
              <w:jc w:val="both"/>
              <w:rPr>
                <w:rFonts w:ascii="Arial" w:eastAsia="Arial" w:hAnsi="Arial" w:cs="Arial"/>
                <w:color w:val="000000"/>
                <w:sz w:val="16"/>
              </w:rPr>
            </w:pPr>
          </w:p>
        </w:tc>
      </w:tr>
      <w:tr w:rsidR="00B6604C" w14:paraId="58C0B5C5" w14:textId="77777777">
        <w:trPr>
          <w:trHeight w:hRule="exact" w:val="453"/>
        </w:trPr>
        <w:tc>
          <w:tcPr>
            <w:tcW w:w="10544" w:type="dxa"/>
            <w:shd w:val="clear" w:color="auto" w:fill="auto"/>
            <w:noWrap/>
            <w:tcMar>
              <w:left w:w="56" w:type="dxa"/>
              <w:right w:w="56" w:type="dxa"/>
            </w:tcMar>
            <w:vAlign w:val="center"/>
          </w:tcPr>
          <w:p w14:paraId="111E76D0" w14:textId="14CEC9E7" w:rsidR="00B6604C" w:rsidRDefault="0069372D">
            <w:pPr>
              <w:keepNext/>
              <w:autoSpaceDE w:val="0"/>
              <w:autoSpaceDN w:val="0"/>
              <w:rPr>
                <w:rFonts w:ascii="Arial" w:eastAsia="Arial" w:hAnsi="Arial" w:cs="Arial"/>
                <w:color w:val="000000"/>
                <w:sz w:val="16"/>
              </w:rPr>
            </w:pPr>
            <w:r>
              <w:rPr>
                <w:noProof/>
              </w:rPr>
              <w:drawing>
                <wp:anchor distT="0" distB="0" distL="114300" distR="114300" simplePos="0" relativeHeight="251658752" behindDoc="0" locked="0" layoutInCell="1" allowOverlap="1" wp14:anchorId="7E730C35" wp14:editId="411697F8">
                  <wp:simplePos x="0" y="0"/>
                  <wp:positionH relativeFrom="page">
                    <wp:posOffset>-356235</wp:posOffset>
                  </wp:positionH>
                  <wp:positionV relativeFrom="paragraph">
                    <wp:posOffset>-142875</wp:posOffset>
                  </wp:positionV>
                  <wp:extent cx="2162175" cy="734695"/>
                  <wp:effectExtent l="0" t="0" r="9525"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62175" cy="734695"/>
                          </a:xfrm>
                          <a:prstGeom prst="rect">
                            <a:avLst/>
                          </a:prstGeom>
                        </pic:spPr>
                      </pic:pic>
                    </a:graphicData>
                  </a:graphic>
                  <wp14:sizeRelH relativeFrom="margin">
                    <wp14:pctWidth>0</wp14:pctWidth>
                  </wp14:sizeRelH>
                  <wp14:sizeRelV relativeFrom="margin">
                    <wp14:pctHeight>0</wp14:pctHeight>
                  </wp14:sizeRelV>
                </wp:anchor>
              </w:drawing>
            </w:r>
          </w:p>
        </w:tc>
      </w:tr>
      <w:tr w:rsidR="00B6604C" w14:paraId="44813C55" w14:textId="77777777">
        <w:trPr>
          <w:trHeight w:hRule="exact" w:val="481"/>
        </w:trPr>
        <w:tc>
          <w:tcPr>
            <w:tcW w:w="10544" w:type="dxa"/>
            <w:shd w:val="clear" w:color="auto" w:fill="auto"/>
            <w:noWrap/>
            <w:tcMar>
              <w:left w:w="56" w:type="dxa"/>
              <w:right w:w="56" w:type="dxa"/>
            </w:tcMar>
            <w:vAlign w:val="center"/>
          </w:tcPr>
          <w:p w14:paraId="740A26D9" w14:textId="7607DBA2" w:rsidR="00B6604C" w:rsidRDefault="00FD35AF">
            <w:pPr>
              <w:keepNext/>
              <w:autoSpaceDE w:val="0"/>
              <w:autoSpaceDN w:val="0"/>
              <w:jc w:val="center"/>
            </w:pPr>
            <w:r>
              <w:rPr>
                <w:rFonts w:ascii="Arial" w:eastAsia="Arial" w:hAnsi="Arial" w:cs="Arial"/>
                <w:b/>
                <w:color w:val="000000"/>
                <w:sz w:val="28"/>
              </w:rPr>
              <w:t>Key Investor Information</w:t>
            </w:r>
          </w:p>
        </w:tc>
      </w:tr>
      <w:tr w:rsidR="00B6604C" w14:paraId="350C0F12" w14:textId="77777777">
        <w:trPr>
          <w:trHeight w:hRule="exact" w:val="737"/>
        </w:trPr>
        <w:tc>
          <w:tcPr>
            <w:tcW w:w="10544" w:type="dxa"/>
            <w:shd w:val="clear" w:color="auto" w:fill="auto"/>
            <w:noWrap/>
            <w:tcMar>
              <w:left w:w="56" w:type="dxa"/>
              <w:right w:w="56" w:type="dxa"/>
            </w:tcMar>
          </w:tcPr>
          <w:p w14:paraId="2CF45921" w14:textId="16306D9E" w:rsidR="00B6604C" w:rsidRDefault="00FD35AF">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2AAAF557"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4A253FAF" w14:textId="77777777">
        <w:trPr>
          <w:trHeight w:hRule="exact" w:val="340"/>
        </w:trPr>
        <w:tc>
          <w:tcPr>
            <w:tcW w:w="10544" w:type="dxa"/>
            <w:shd w:val="solid" w:color="C0C0C0" w:fill="auto"/>
            <w:tcMar>
              <w:left w:w="56" w:type="dxa"/>
              <w:right w:w="56" w:type="dxa"/>
            </w:tcMar>
            <w:vAlign w:val="center"/>
          </w:tcPr>
          <w:p w14:paraId="7B92CF3D" w14:textId="77777777" w:rsidR="00B6604C" w:rsidRDefault="00FD35AF">
            <w:pPr>
              <w:keepNext/>
              <w:autoSpaceDE w:val="0"/>
              <w:autoSpaceDN w:val="0"/>
            </w:pPr>
            <w:r>
              <w:rPr>
                <w:rFonts w:ascii="Arial" w:eastAsia="Arial" w:hAnsi="Arial" w:cs="Arial"/>
                <w:b/>
                <w:color w:val="000000"/>
                <w:sz w:val="24"/>
              </w:rPr>
              <w:t>Osmosis Resource Efficient Core Equity Fund</w:t>
            </w:r>
          </w:p>
        </w:tc>
      </w:tr>
      <w:tr w:rsidR="00B6604C" w14:paraId="7F20F850" w14:textId="77777777">
        <w:trPr>
          <w:trHeight w:hRule="exact" w:val="170"/>
        </w:trPr>
        <w:tc>
          <w:tcPr>
            <w:tcW w:w="10544" w:type="dxa"/>
            <w:shd w:val="solid" w:color="C0C0C0" w:fill="auto"/>
            <w:tcMar>
              <w:left w:w="56" w:type="dxa"/>
              <w:right w:w="56" w:type="dxa"/>
            </w:tcMar>
          </w:tcPr>
          <w:p w14:paraId="12090567" w14:textId="22F352BF" w:rsidR="00B6604C" w:rsidRDefault="00FD35AF">
            <w:pPr>
              <w:keepNext/>
              <w:autoSpaceDE w:val="0"/>
              <w:autoSpaceDN w:val="0"/>
              <w:spacing w:before="3"/>
            </w:pPr>
            <w:r>
              <w:rPr>
                <w:rFonts w:ascii="Arial" w:eastAsia="Arial" w:hAnsi="Arial" w:cs="Arial"/>
                <w:b/>
                <w:color w:val="000000"/>
                <w:sz w:val="16"/>
              </w:rPr>
              <w:t>a sub-Fund of Osmosis ICAV ("THE ICAV")</w:t>
            </w:r>
          </w:p>
        </w:tc>
      </w:tr>
      <w:tr w:rsidR="00B6604C" w14:paraId="55D9844C" w14:textId="77777777">
        <w:trPr>
          <w:trHeight w:hRule="exact" w:val="28"/>
        </w:trPr>
        <w:tc>
          <w:tcPr>
            <w:tcW w:w="10544" w:type="dxa"/>
            <w:shd w:val="solid" w:color="C0C0C0" w:fill="auto"/>
            <w:tcMar>
              <w:left w:w="56" w:type="dxa"/>
              <w:right w:w="56" w:type="dxa"/>
            </w:tcMar>
            <w:vAlign w:val="center"/>
          </w:tcPr>
          <w:p w14:paraId="2EE3023C" w14:textId="77777777" w:rsidR="00B6604C" w:rsidRDefault="00B6604C">
            <w:pPr>
              <w:keepNext/>
              <w:autoSpaceDE w:val="0"/>
              <w:autoSpaceDN w:val="0"/>
              <w:rPr>
                <w:rFonts w:ascii="Arial" w:eastAsia="Arial" w:hAnsi="Arial" w:cs="Arial"/>
                <w:b/>
                <w:color w:val="000000"/>
                <w:sz w:val="16"/>
              </w:rPr>
            </w:pPr>
          </w:p>
        </w:tc>
      </w:tr>
      <w:tr w:rsidR="00B6604C" w14:paraId="08D49C52" w14:textId="77777777" w:rsidTr="0069372D">
        <w:trPr>
          <w:trHeight w:hRule="exact" w:val="262"/>
        </w:trPr>
        <w:tc>
          <w:tcPr>
            <w:tcW w:w="10544" w:type="dxa"/>
            <w:shd w:val="solid" w:color="D9D9D9" w:fill="auto"/>
            <w:tcMar>
              <w:left w:w="56" w:type="dxa"/>
              <w:right w:w="56" w:type="dxa"/>
            </w:tcMar>
            <w:vAlign w:val="center"/>
          </w:tcPr>
          <w:p w14:paraId="3F390ECD" w14:textId="4F0DB384" w:rsidR="0069372D" w:rsidRDefault="0069372D" w:rsidP="0069372D">
            <w:pPr>
              <w:spacing w:before="97"/>
              <w:ind w:left="23"/>
              <w:rPr>
                <w:b/>
                <w:sz w:val="16"/>
              </w:rPr>
            </w:pPr>
            <w:r w:rsidRPr="001442EE">
              <w:rPr>
                <w:b/>
                <w:sz w:val="16"/>
              </w:rPr>
              <w:t xml:space="preserve">(ISIN: </w:t>
            </w:r>
            <w:r w:rsidRPr="005574DB">
              <w:rPr>
                <w:b/>
                <w:sz w:val="16"/>
              </w:rPr>
              <w:t>IIE00BKS7KZ72</w:t>
            </w:r>
            <w:r w:rsidRPr="001442EE">
              <w:rPr>
                <w:b/>
                <w:sz w:val="16"/>
              </w:rPr>
              <w:t xml:space="preserve">, Share Class: D </w:t>
            </w:r>
            <w:r>
              <w:rPr>
                <w:b/>
                <w:sz w:val="16"/>
              </w:rPr>
              <w:t>GBP</w:t>
            </w:r>
            <w:r w:rsidRPr="001442EE">
              <w:rPr>
                <w:b/>
                <w:sz w:val="16"/>
              </w:rPr>
              <w:t>)</w:t>
            </w:r>
          </w:p>
          <w:p w14:paraId="14B542E9" w14:textId="0AF9980E" w:rsidR="00B6604C" w:rsidRDefault="00B6604C">
            <w:pPr>
              <w:keepNext/>
              <w:autoSpaceDE w:val="0"/>
              <w:autoSpaceDN w:val="0"/>
            </w:pPr>
          </w:p>
        </w:tc>
      </w:tr>
      <w:tr w:rsidR="00B6604C" w14:paraId="72970A17" w14:textId="77777777" w:rsidTr="0069372D">
        <w:trPr>
          <w:trHeight w:hRule="exact" w:val="321"/>
        </w:trPr>
        <w:tc>
          <w:tcPr>
            <w:tcW w:w="10544" w:type="dxa"/>
            <w:shd w:val="solid" w:color="D9D9D9" w:fill="auto"/>
            <w:tcMar>
              <w:left w:w="56" w:type="dxa"/>
              <w:right w:w="56" w:type="dxa"/>
            </w:tcMar>
            <w:vAlign w:val="bottom"/>
          </w:tcPr>
          <w:p w14:paraId="5F7DA7B1" w14:textId="6235006E" w:rsidR="00B6604C" w:rsidRDefault="00FD35AF">
            <w:pPr>
              <w:keepNext/>
              <w:autoSpaceDE w:val="0"/>
              <w:autoSpaceDN w:val="0"/>
            </w:pPr>
            <w:r>
              <w:rPr>
                <w:rFonts w:ascii="Arial" w:eastAsia="Arial" w:hAnsi="Arial" w:cs="Arial"/>
                <w:b/>
                <w:color w:val="000000"/>
                <w:sz w:val="16"/>
              </w:rPr>
              <w:t>This Fund is managed by Prescient Fund Services (Ireland) Limited (The "Manager"</w:t>
            </w:r>
            <w:r w:rsidR="0069372D">
              <w:rPr>
                <w:rFonts w:ascii="Arial" w:eastAsia="Arial" w:hAnsi="Arial" w:cs="Arial"/>
                <w:b/>
                <w:color w:val="000000"/>
                <w:sz w:val="16"/>
              </w:rPr>
              <w:t>)</w:t>
            </w:r>
          </w:p>
        </w:tc>
      </w:tr>
      <w:tr w:rsidR="00B6604C" w14:paraId="4DA815AB" w14:textId="77777777">
        <w:trPr>
          <w:trHeight w:hRule="exact" w:val="311"/>
        </w:trPr>
        <w:tc>
          <w:tcPr>
            <w:tcW w:w="10544" w:type="dxa"/>
            <w:shd w:val="clear" w:color="auto" w:fill="auto"/>
            <w:tcMar>
              <w:left w:w="56" w:type="dxa"/>
              <w:right w:w="56" w:type="dxa"/>
            </w:tcMar>
            <w:vAlign w:val="center"/>
          </w:tcPr>
          <w:p w14:paraId="276AF790" w14:textId="77777777" w:rsidR="00B6604C" w:rsidRDefault="00B6604C">
            <w:pPr>
              <w:autoSpaceDE w:val="0"/>
              <w:autoSpaceDN w:val="0"/>
              <w:rPr>
                <w:rFonts w:ascii="Arial" w:eastAsia="Arial" w:hAnsi="Arial" w:cs="Arial"/>
                <w:b/>
                <w:color w:val="000000"/>
                <w:sz w:val="16"/>
              </w:rPr>
            </w:pPr>
          </w:p>
        </w:tc>
      </w:tr>
    </w:tbl>
    <w:p w14:paraId="44543077"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20400CA5"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CD41BEC" w14:textId="77777777" w:rsidR="00B6604C" w:rsidRDefault="00FD35AF">
            <w:pPr>
              <w:autoSpaceDE w:val="0"/>
              <w:autoSpaceDN w:val="0"/>
            </w:pPr>
            <w:r>
              <w:rPr>
                <w:rFonts w:ascii="Arial" w:eastAsia="Arial" w:hAnsi="Arial" w:cs="Arial"/>
                <w:b/>
                <w:color w:val="000000"/>
                <w:sz w:val="18"/>
              </w:rPr>
              <w:t>Objectives and Investment Policy</w:t>
            </w:r>
          </w:p>
        </w:tc>
      </w:tr>
    </w:tbl>
    <w:p w14:paraId="5431DC99" w14:textId="77777777" w:rsidR="00B6604C" w:rsidRDefault="00B6604C">
      <w:pPr>
        <w:autoSpaceDE w:val="0"/>
        <w:autoSpaceDN w:val="0"/>
        <w:rPr>
          <w:sz w:val="2"/>
          <w:szCs w:val="2"/>
        </w:rPr>
        <w:sectPr w:rsidR="00B6604C">
          <w:headerReference w:type="default" r:id="rId8"/>
          <w:footerReference w:type="default" r:id="rId9"/>
          <w:footnotePr>
            <w:numRestart w:val="eachSect"/>
          </w:footnotePr>
          <w:pgSz w:w="11905" w:h="16837"/>
          <w:pgMar w:top="0" w:right="793" w:bottom="0" w:left="566" w:header="0" w:footer="0" w:gutter="0"/>
          <w:cols w:space="0"/>
        </w:sectPr>
      </w:pPr>
    </w:p>
    <w:p w14:paraId="17E8BE70"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goal is to achieve growth of the Fund's value in the medium to long term.</w:t>
      </w:r>
    </w:p>
    <w:p w14:paraId="56DE94E5"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402F699"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invests in shares of large companies, which may be located in developed countries worldwide.</w:t>
      </w:r>
    </w:p>
    <w:p w14:paraId="70BB2A83"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75AE91C"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55ADCB62"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760643E"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up to 10% of its net aset value in cash equivalents and money market instruments. The Fund may also invest up to 10% of its net asset value in collective investment schemes.</w:t>
      </w:r>
    </w:p>
    <w:p w14:paraId="17F258BF"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7435008"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invest in limited Financial Derivatives ("FDIs") for investment purposes and efficient portfolio management, including for hedging purposes.</w:t>
      </w:r>
    </w:p>
    <w:p w14:paraId="7C622908"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CCD07D9"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base currency is US dollars.</w:t>
      </w:r>
    </w:p>
    <w:p w14:paraId="40B2F80F"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CE32454"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Portfolio transaction costs may have an impact on the Fund's performance. Portfolio transaction costs are paid out of the assets of the Fund, in addition to the charges set out below.</w:t>
      </w:r>
    </w:p>
    <w:p w14:paraId="20F56BEE"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23A52E5"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This Fund is actively managed in reference to the MSCI World Index (the "Benchmark")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p>
    <w:p w14:paraId="128ACEF8"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232C746"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Any income arising from the Fund will be reinvested and it is not  intended that the Fund will pay dividends.</w:t>
      </w:r>
    </w:p>
    <w:p w14:paraId="2113CEB4"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FED960D"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Fund's current Prospectus shall have the same meaning herein.</w:t>
      </w:r>
    </w:p>
    <w:p w14:paraId="28A22F37"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0FA1730"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on any day (except Saturday  or Sunday) on which banks in Ireland and England are generally open  for business.</w:t>
      </w:r>
    </w:p>
    <w:p w14:paraId="45586DD8"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C7AD667"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Please refer to the "Investment Objectives and Policies" section of the Prospectus for further information.</w:t>
      </w:r>
    </w:p>
    <w:p w14:paraId="3F800C94" w14:textId="77777777" w:rsidR="00B6604C" w:rsidRDefault="00B6604C">
      <w:pPr>
        <w:autoSpaceDE w:val="0"/>
        <w:autoSpaceDN w:val="0"/>
        <w:jc w:val="both"/>
        <w:rPr>
          <w:rFonts w:ascii="Arial" w:eastAsia="Arial" w:hAnsi="Arial" w:cs="Arial"/>
          <w:color w:val="000000"/>
          <w:sz w:val="16"/>
          <w:szCs w:val="16"/>
        </w:rPr>
        <w:sectPr w:rsidR="00B6604C">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B6604C" w14:paraId="008117AD" w14:textId="77777777">
        <w:trPr>
          <w:trHeight w:hRule="exact" w:val="283"/>
        </w:trPr>
        <w:tc>
          <w:tcPr>
            <w:tcW w:w="10544" w:type="dxa"/>
            <w:shd w:val="clear" w:color="auto" w:fill="auto"/>
            <w:noWrap/>
            <w:tcMar>
              <w:left w:w="20" w:type="dxa"/>
              <w:right w:w="20" w:type="dxa"/>
            </w:tcMar>
          </w:tcPr>
          <w:p w14:paraId="2E6F579E" w14:textId="77777777" w:rsidR="00B6604C" w:rsidRDefault="00B6604C">
            <w:pPr>
              <w:autoSpaceDE w:val="0"/>
              <w:autoSpaceDN w:val="0"/>
              <w:rPr>
                <w:rFonts w:ascii="Arial" w:eastAsia="Arial" w:hAnsi="Arial" w:cs="Arial"/>
                <w:color w:val="000000"/>
                <w:sz w:val="18"/>
              </w:rPr>
            </w:pPr>
          </w:p>
        </w:tc>
      </w:tr>
    </w:tbl>
    <w:p w14:paraId="73760210"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7EB16DBD"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13A2530" w14:textId="77777777" w:rsidR="00B6604C" w:rsidRDefault="00FD35AF">
            <w:pPr>
              <w:keepNext/>
              <w:autoSpaceDE w:val="0"/>
              <w:autoSpaceDN w:val="0"/>
            </w:pPr>
            <w:r>
              <w:rPr>
                <w:rFonts w:ascii="Arial" w:eastAsia="Arial" w:hAnsi="Arial" w:cs="Arial"/>
                <w:b/>
                <w:color w:val="000000"/>
                <w:sz w:val="18"/>
              </w:rPr>
              <w:t>Risk and Reward Profile of the Fund</w:t>
            </w:r>
          </w:p>
        </w:tc>
      </w:tr>
      <w:tr w:rsidR="00B6604C" w14:paraId="628C4CD4" w14:textId="77777777">
        <w:trPr>
          <w:trHeight w:hRule="exact" w:val="226"/>
        </w:trPr>
        <w:tc>
          <w:tcPr>
            <w:tcW w:w="10544" w:type="dxa"/>
            <w:shd w:val="clear" w:color="auto" w:fill="auto"/>
            <w:noWrap/>
            <w:tcMar>
              <w:left w:w="20" w:type="dxa"/>
              <w:right w:w="20" w:type="dxa"/>
            </w:tcMar>
          </w:tcPr>
          <w:p w14:paraId="77CBDA8D" w14:textId="77777777" w:rsidR="00B6604C" w:rsidRDefault="00B6604C">
            <w:pPr>
              <w:autoSpaceDE w:val="0"/>
              <w:autoSpaceDN w:val="0"/>
              <w:rPr>
                <w:rFonts w:ascii="Arial" w:eastAsia="Arial" w:hAnsi="Arial" w:cs="Arial"/>
                <w:color w:val="000000"/>
                <w:sz w:val="18"/>
              </w:rPr>
            </w:pPr>
          </w:p>
        </w:tc>
      </w:tr>
    </w:tbl>
    <w:p w14:paraId="3B6C59BA" w14:textId="77777777" w:rsidR="00B6604C" w:rsidRDefault="00B6604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B6604C" w14:paraId="6AB42863"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B6604C" w14:paraId="0EF9DCC8"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46BAFFF3" w14:textId="77777777" w:rsidR="00B6604C" w:rsidRDefault="00FD35AF">
                  <w:pPr>
                    <w:keepLines/>
                    <w:autoSpaceDE w:val="0"/>
                    <w:autoSpaceDN w:val="0"/>
                    <w:jc w:val="center"/>
                  </w:pPr>
                  <w:r>
                    <w:rPr>
                      <w:rFonts w:ascii="Arial" w:eastAsia="Arial" w:hAnsi="Arial" w:cs="Arial"/>
                      <w:noProof/>
                      <w:color w:val="000000"/>
                      <w:sz w:val="16"/>
                    </w:rPr>
                    <w:drawing>
                      <wp:inline distT="0" distB="0" distL="0" distR="0" wp14:anchorId="57318B15" wp14:editId="22B17C4C">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B6604C" w14:paraId="10DCDE66" w14:textId="77777777">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22978D6B" w14:textId="77777777" w:rsidR="00B6604C" w:rsidRDefault="00FD35AF">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B191485" w14:textId="77777777" w:rsidR="00B6604C" w:rsidRDefault="00FD35AF">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C34F333" w14:textId="77777777" w:rsidR="00B6604C" w:rsidRDefault="00FD35AF">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1662F745" w14:textId="77777777" w:rsidR="00B6604C" w:rsidRDefault="00FD35AF">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solid" w:color="BFBFBF" w:fill="auto"/>
                  <w:noWrap/>
                  <w:tcMar>
                    <w:left w:w="56" w:type="dxa"/>
                    <w:right w:w="56" w:type="dxa"/>
                  </w:tcMar>
                  <w:vAlign w:val="center"/>
                </w:tcPr>
                <w:p w14:paraId="6DB4E2C3" w14:textId="77777777" w:rsidR="00B6604C" w:rsidRDefault="00FD35AF">
                  <w:pPr>
                    <w:autoSpaceDE w:val="0"/>
                    <w:autoSpaceDN w:val="0"/>
                    <w:jc w:val="center"/>
                  </w:pPr>
                  <w:r>
                    <w:rPr>
                      <w:rFonts w:ascii="Arial" w:eastAsia="Arial" w:hAnsi="Arial" w:cs="Arial"/>
                      <w:b/>
                      <w:color w:val="000000"/>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F6C44BB" w14:textId="77777777" w:rsidR="00B6604C" w:rsidRDefault="00FD35AF">
                  <w:pPr>
                    <w:autoSpaceDE w:val="0"/>
                    <w:autoSpaceDN w:val="0"/>
                    <w:jc w:val="center"/>
                  </w:pPr>
                  <w:r>
                    <w:rPr>
                      <w:rFonts w:ascii="Arial" w:eastAsia="Arial" w:hAnsi="Arial" w:cs="Arial"/>
                      <w:color w:val="C0C0C0"/>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0795975F" w14:textId="77777777" w:rsidR="00B6604C" w:rsidRDefault="00FD35AF">
                  <w:pPr>
                    <w:autoSpaceDE w:val="0"/>
                    <w:autoSpaceDN w:val="0"/>
                    <w:jc w:val="center"/>
                  </w:pPr>
                  <w:r>
                    <w:rPr>
                      <w:rFonts w:ascii="Arial" w:eastAsia="Arial" w:hAnsi="Arial" w:cs="Arial"/>
                      <w:color w:val="C0C0C0"/>
                    </w:rPr>
                    <w:t>7</w:t>
                  </w:r>
                </w:p>
              </w:tc>
            </w:tr>
            <w:tr w:rsidR="00B6604C" w14:paraId="0A0CD834" w14:textId="77777777">
              <w:tc>
                <w:tcPr>
                  <w:tcW w:w="4984" w:type="dxa"/>
                  <w:gridSpan w:val="7"/>
                  <w:shd w:val="clear" w:color="auto" w:fill="auto"/>
                  <w:noWrap/>
                  <w:tcMar>
                    <w:left w:w="56" w:type="dxa"/>
                  </w:tcMar>
                  <w:vAlign w:val="center"/>
                </w:tcPr>
                <w:p w14:paraId="044C9C17" w14:textId="77777777" w:rsidR="00B6604C" w:rsidRDefault="00B6604C">
                  <w:pPr>
                    <w:autoSpaceDE w:val="0"/>
                    <w:autoSpaceDN w:val="0"/>
                    <w:jc w:val="both"/>
                    <w:rPr>
                      <w:rFonts w:ascii="Arial" w:eastAsia="Arial" w:hAnsi="Arial" w:cs="Arial"/>
                      <w:color w:val="C0C0C0"/>
                      <w:sz w:val="16"/>
                    </w:rPr>
                  </w:pPr>
                </w:p>
              </w:tc>
            </w:tr>
            <w:tr w:rsidR="00B6604C" w14:paraId="051BB6D3" w14:textId="77777777">
              <w:tc>
                <w:tcPr>
                  <w:tcW w:w="4984" w:type="dxa"/>
                  <w:gridSpan w:val="7"/>
                  <w:shd w:val="clear" w:color="auto" w:fill="auto"/>
                  <w:noWrap/>
                  <w:tcMar>
                    <w:left w:w="56" w:type="dxa"/>
                  </w:tcMar>
                  <w:vAlign w:val="center"/>
                </w:tcPr>
                <w:p w14:paraId="29CEFF0F" w14:textId="77777777" w:rsidR="00B6604C" w:rsidRDefault="00FD35AF">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13415E00" w14:textId="77777777" w:rsidR="00B6604C" w:rsidRDefault="00B6604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B6604C" w14:paraId="530CDA3E" w14:textId="77777777">
              <w:trPr>
                <w:trHeight w:hRule="exact" w:val="170"/>
              </w:trPr>
              <w:tc>
                <w:tcPr>
                  <w:tcW w:w="510" w:type="dxa"/>
                  <w:shd w:val="clear" w:color="auto" w:fill="auto"/>
                  <w:noWrap/>
                  <w:tcMar>
                    <w:left w:w="20" w:type="dxa"/>
                    <w:right w:w="20" w:type="dxa"/>
                  </w:tcMar>
                </w:tcPr>
                <w:p w14:paraId="4DBFD2F5" w14:textId="77777777" w:rsidR="00B6604C" w:rsidRDefault="00B6604C">
                  <w:pPr>
                    <w:autoSpaceDE w:val="0"/>
                    <w:autoSpaceDN w:val="0"/>
                    <w:rPr>
                      <w:rFonts w:ascii="Arial" w:eastAsia="Arial" w:hAnsi="Arial" w:cs="Arial"/>
                      <w:color w:val="000000"/>
                      <w:sz w:val="18"/>
                    </w:rPr>
                  </w:pPr>
                </w:p>
              </w:tc>
            </w:tr>
          </w:tbl>
          <w:p w14:paraId="2F1D632D" w14:textId="77777777" w:rsidR="00B6604C" w:rsidRDefault="00B6604C">
            <w:pPr>
              <w:keepNext/>
              <w:autoSpaceDE w:val="0"/>
              <w:autoSpaceDN w:val="0"/>
              <w:rPr>
                <w:vanish/>
                <w:sz w:val="2"/>
                <w:szCs w:val="2"/>
              </w:rPr>
            </w:pPr>
          </w:p>
        </w:tc>
        <w:tc>
          <w:tcPr>
            <w:tcW w:w="5017" w:type="dxa"/>
          </w:tcPr>
          <w:p w14:paraId="15728958"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660BC032"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6BD92616"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049717BA"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Equity Risk</w:t>
            </w:r>
            <w:r>
              <w:rPr>
                <w:rFonts w:ascii="Arial" w:eastAsia="Arial" w:hAnsi="Arial" w:cs="Arial"/>
                <w:color w:val="000000"/>
                <w:sz w:val="16"/>
                <w:szCs w:val="16"/>
              </w:rPr>
              <w:t xml:space="preserve"> - the Fund invests in shares of companies, and the value  of these shares can be negatively affected by changes in the company  or its industry or the economy in which it operates.</w:t>
            </w:r>
          </w:p>
          <w:p w14:paraId="3375E641"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Exchange Rate Risk</w:t>
            </w:r>
            <w:r>
              <w:rPr>
                <w:rFonts w:ascii="Arial" w:eastAsia="Arial" w:hAnsi="Arial" w:cs="Arial"/>
                <w:color w:val="000000"/>
                <w:sz w:val="16"/>
                <w:szCs w:val="16"/>
              </w:rPr>
              <w:t xml:space="preserve"> - changes in exchange rates between the currencies of investments held by the Fund and the Fund's base currency may negatively affect the value of an investment.</w:t>
            </w:r>
          </w:p>
          <w:p w14:paraId="4D0F217B"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Operational Risk</w:t>
            </w:r>
            <w:r>
              <w:rPr>
                <w:rFonts w:ascii="Arial" w:eastAsia="Arial" w:hAnsi="Arial" w:cs="Arial"/>
                <w:color w:val="000000"/>
                <w:sz w:val="16"/>
                <w:szCs w:val="16"/>
              </w:rPr>
              <w:t xml:space="preserve"> - the Fund is subject to the risk of loss resulting from inadequate or failed internal processes, people or systems or those of third parties such as those responsible for the custody of its assets.</w:t>
            </w:r>
          </w:p>
          <w:p w14:paraId="58844BAA"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6657ACBF"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Derivatives Risk</w:t>
            </w:r>
            <w:r>
              <w:rPr>
                <w:rFonts w:ascii="Arial" w:eastAsia="Arial" w:hAnsi="Arial" w:cs="Arial"/>
                <w:color w:val="000000"/>
                <w:sz w:val="16"/>
                <w:szCs w:val="16"/>
              </w:rPr>
              <w:t xml:space="preserve"> - Derivatives are highly sensitive to changes in the value of the assets which they are based on.</w:t>
            </w:r>
          </w:p>
          <w:p w14:paraId="4C8AFC1E"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0AF6F7D9"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3F8EF75B" w14:textId="77777777" w:rsidR="00B6604C" w:rsidRDefault="00B6604C">
            <w:pPr>
              <w:keepNext/>
              <w:autoSpaceDE w:val="0"/>
              <w:autoSpaceDN w:val="0"/>
              <w:rPr>
                <w:vanish/>
                <w:sz w:val="2"/>
                <w:szCs w:val="2"/>
              </w:rPr>
            </w:pPr>
          </w:p>
        </w:tc>
      </w:tr>
    </w:tbl>
    <w:p w14:paraId="1C7E3F00" w14:textId="77777777" w:rsidR="00B6604C" w:rsidRDefault="00B6604C">
      <w:pPr>
        <w:autoSpaceDE w:val="0"/>
        <w:autoSpaceDN w:val="0"/>
        <w:rPr>
          <w:sz w:val="2"/>
          <w:szCs w:val="2"/>
        </w:rPr>
        <w:sectPr w:rsidR="00B6604C">
          <w:type w:val="continuous"/>
          <w:pgSz w:w="11905" w:h="16837"/>
          <w:pgMar w:top="0" w:right="793" w:bottom="0" w:left="566" w:header="0" w:footer="0" w:gutter="0"/>
          <w:cols w:space="0"/>
        </w:sectPr>
      </w:pPr>
    </w:p>
    <w:p w14:paraId="32439F18" w14:textId="77777777" w:rsidR="00B6604C" w:rsidRDefault="00B6604C">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63A55616"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73B291E" w14:textId="77777777" w:rsidR="00B6604C" w:rsidRDefault="00FD35AF">
            <w:pPr>
              <w:keepNext/>
              <w:autoSpaceDE w:val="0"/>
              <w:autoSpaceDN w:val="0"/>
            </w:pPr>
            <w:r>
              <w:rPr>
                <w:rFonts w:ascii="Arial" w:eastAsia="Arial" w:hAnsi="Arial" w:cs="Arial"/>
                <w:b/>
                <w:color w:val="000000"/>
                <w:sz w:val="18"/>
              </w:rPr>
              <w:t>Charges for the Fund</w:t>
            </w:r>
          </w:p>
        </w:tc>
      </w:tr>
      <w:tr w:rsidR="00B6604C" w14:paraId="518DFDBC" w14:textId="77777777">
        <w:trPr>
          <w:trHeight w:hRule="exact" w:val="226"/>
        </w:trPr>
        <w:tc>
          <w:tcPr>
            <w:tcW w:w="10544" w:type="dxa"/>
            <w:shd w:val="clear" w:color="auto" w:fill="auto"/>
            <w:noWrap/>
            <w:tcMar>
              <w:left w:w="20" w:type="dxa"/>
              <w:right w:w="20" w:type="dxa"/>
            </w:tcMar>
          </w:tcPr>
          <w:p w14:paraId="58E4834D" w14:textId="77777777" w:rsidR="00B6604C" w:rsidRDefault="00B6604C">
            <w:pPr>
              <w:autoSpaceDE w:val="0"/>
              <w:autoSpaceDN w:val="0"/>
              <w:rPr>
                <w:rFonts w:ascii="Arial" w:eastAsia="Arial" w:hAnsi="Arial" w:cs="Arial"/>
                <w:color w:val="000000"/>
                <w:sz w:val="18"/>
              </w:rPr>
            </w:pPr>
          </w:p>
        </w:tc>
      </w:tr>
    </w:tbl>
    <w:p w14:paraId="4F4BEA31"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53F5D992" w14:textId="77777777">
        <w:tc>
          <w:tcPr>
            <w:tcW w:w="10544" w:type="dxa"/>
            <w:shd w:val="clear" w:color="auto" w:fill="auto"/>
            <w:noWrap/>
            <w:tcMar>
              <w:left w:w="56" w:type="dxa"/>
              <w:right w:w="56" w:type="dxa"/>
            </w:tcMar>
            <w:vAlign w:val="center"/>
          </w:tcPr>
          <w:p w14:paraId="2E642BEC" w14:textId="77777777" w:rsidR="00B6604C" w:rsidRDefault="00FD35AF">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B6604C" w14:paraId="72F218EA" w14:textId="77777777">
        <w:trPr>
          <w:trHeight w:hRule="exact" w:val="170"/>
        </w:trPr>
        <w:tc>
          <w:tcPr>
            <w:tcW w:w="10544" w:type="dxa"/>
            <w:shd w:val="clear" w:color="auto" w:fill="auto"/>
            <w:noWrap/>
            <w:tcMar>
              <w:left w:w="56" w:type="dxa"/>
              <w:right w:w="56" w:type="dxa"/>
            </w:tcMar>
            <w:vAlign w:val="center"/>
          </w:tcPr>
          <w:p w14:paraId="19A891E7" w14:textId="77777777" w:rsidR="00B6604C" w:rsidRDefault="00B6604C">
            <w:pPr>
              <w:autoSpaceDE w:val="0"/>
              <w:autoSpaceDN w:val="0"/>
              <w:jc w:val="both"/>
              <w:rPr>
                <w:rFonts w:ascii="Arial" w:eastAsia="Arial" w:hAnsi="Arial" w:cs="Arial"/>
                <w:color w:val="000000"/>
                <w:sz w:val="16"/>
              </w:rPr>
            </w:pPr>
          </w:p>
        </w:tc>
      </w:tr>
    </w:tbl>
    <w:p w14:paraId="4CB2CC95" w14:textId="77777777" w:rsidR="00B6604C" w:rsidRDefault="00B6604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B6604C" w14:paraId="4C44E514"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B6604C" w14:paraId="1C6C035B"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025F4879" w14:textId="77777777" w:rsidR="00B6604C" w:rsidRDefault="00FD35AF">
                  <w:pPr>
                    <w:autoSpaceDE w:val="0"/>
                    <w:autoSpaceDN w:val="0"/>
                    <w:spacing w:after="80"/>
                    <w:jc w:val="both"/>
                  </w:pPr>
                  <w:r>
                    <w:rPr>
                      <w:rFonts w:ascii="Arial" w:eastAsia="Arial" w:hAnsi="Arial" w:cs="Arial"/>
                      <w:b/>
                      <w:color w:val="000000"/>
                      <w:sz w:val="16"/>
                    </w:rPr>
                    <w:t>One-off charges taken before or after you invest</w:t>
                  </w:r>
                </w:p>
              </w:tc>
            </w:tr>
            <w:tr w:rsidR="00B6604C" w14:paraId="5EEC31C6"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76C972C7" w14:textId="77777777" w:rsidR="00B6604C" w:rsidRDefault="00FD35AF">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29454065" w14:textId="77777777" w:rsidR="00B6604C" w:rsidRDefault="00FD35AF">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60C41F28" w14:textId="77777777" w:rsidR="00B6604C" w:rsidRDefault="00B6604C">
                  <w:pPr>
                    <w:autoSpaceDE w:val="0"/>
                    <w:autoSpaceDN w:val="0"/>
                    <w:jc w:val="both"/>
                    <w:rPr>
                      <w:rFonts w:ascii="Arial" w:eastAsia="Arial" w:hAnsi="Arial" w:cs="Arial"/>
                      <w:color w:val="000000"/>
                      <w:sz w:val="16"/>
                    </w:rPr>
                  </w:pPr>
                </w:p>
              </w:tc>
            </w:tr>
            <w:tr w:rsidR="00B6604C" w14:paraId="5F556B96"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63E5684" w14:textId="77777777" w:rsidR="00B6604C" w:rsidRDefault="00FD35AF">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4089DAC6" w14:textId="77777777" w:rsidR="00B6604C" w:rsidRDefault="00FD35AF">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039AA916" w14:textId="77777777" w:rsidR="00B6604C" w:rsidRDefault="00B6604C">
                  <w:pPr>
                    <w:autoSpaceDE w:val="0"/>
                    <w:autoSpaceDN w:val="0"/>
                    <w:jc w:val="both"/>
                    <w:rPr>
                      <w:rFonts w:ascii="Arial" w:eastAsia="Arial" w:hAnsi="Arial" w:cs="Arial"/>
                      <w:color w:val="000000"/>
                      <w:sz w:val="16"/>
                    </w:rPr>
                  </w:pPr>
                </w:p>
              </w:tc>
            </w:tr>
            <w:tr w:rsidR="00B6604C" w14:paraId="512788CC"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6B0D34FA" w14:textId="77777777" w:rsidR="00B6604C" w:rsidRDefault="00B6604C">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74B652B4" w14:textId="77777777" w:rsidR="00B6604C" w:rsidRDefault="00B6604C">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118FB536" w14:textId="77777777" w:rsidR="00B6604C" w:rsidRDefault="00B6604C">
                  <w:pPr>
                    <w:autoSpaceDE w:val="0"/>
                    <w:autoSpaceDN w:val="0"/>
                    <w:jc w:val="both"/>
                    <w:rPr>
                      <w:rFonts w:ascii="Arial" w:eastAsia="Arial" w:hAnsi="Arial" w:cs="Arial"/>
                      <w:color w:val="000000"/>
                      <w:sz w:val="16"/>
                    </w:rPr>
                  </w:pPr>
                </w:p>
              </w:tc>
            </w:tr>
            <w:tr w:rsidR="00B6604C" w14:paraId="4A1D1087"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74B7CC14" w14:textId="77777777" w:rsidR="00B6604C" w:rsidRDefault="00FD35AF">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B6604C" w14:paraId="7EB68011"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580FEF39" w14:textId="77777777" w:rsidR="00B6604C" w:rsidRDefault="00B6604C">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765931EC" w14:textId="77777777" w:rsidR="00B6604C" w:rsidRDefault="00B6604C">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56DD313B" w14:textId="77777777" w:rsidR="00B6604C" w:rsidRDefault="00B6604C">
                  <w:pPr>
                    <w:autoSpaceDE w:val="0"/>
                    <w:autoSpaceDN w:val="0"/>
                    <w:jc w:val="both"/>
                    <w:rPr>
                      <w:rFonts w:ascii="Arial" w:eastAsia="Arial" w:hAnsi="Arial" w:cs="Arial"/>
                      <w:color w:val="000000"/>
                      <w:sz w:val="16"/>
                    </w:rPr>
                  </w:pPr>
                </w:p>
              </w:tc>
            </w:tr>
            <w:tr w:rsidR="00B6604C" w14:paraId="792B4D5B"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3A5C1200" w14:textId="77777777" w:rsidR="00B6604C" w:rsidRDefault="00FD35AF">
                  <w:pPr>
                    <w:autoSpaceDE w:val="0"/>
                    <w:autoSpaceDN w:val="0"/>
                    <w:spacing w:before="80" w:after="80"/>
                    <w:jc w:val="both"/>
                  </w:pPr>
                  <w:r>
                    <w:rPr>
                      <w:rFonts w:ascii="Arial" w:eastAsia="Arial" w:hAnsi="Arial" w:cs="Arial"/>
                      <w:b/>
                      <w:color w:val="000000"/>
                      <w:sz w:val="16"/>
                    </w:rPr>
                    <w:t>Charges taken from the Fund over a year</w:t>
                  </w:r>
                </w:p>
              </w:tc>
            </w:tr>
            <w:tr w:rsidR="00B6604C" w14:paraId="285CC376"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0D43A794" w14:textId="77777777" w:rsidR="00B6604C" w:rsidRDefault="00FD35AF">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778094A1" w14:textId="2F0149FD" w:rsidR="00B6604C" w:rsidRDefault="00FD35AF">
                  <w:pPr>
                    <w:autoSpaceDE w:val="0"/>
                    <w:autoSpaceDN w:val="0"/>
                    <w:jc w:val="both"/>
                  </w:pPr>
                  <w:r>
                    <w:rPr>
                      <w:rFonts w:ascii="Arial" w:eastAsia="Arial" w:hAnsi="Arial" w:cs="Arial"/>
                      <w:color w:val="000000"/>
                      <w:sz w:val="16"/>
                    </w:rPr>
                    <w:t>0.</w:t>
                  </w:r>
                  <w:r w:rsidR="00466434">
                    <w:rPr>
                      <w:rFonts w:ascii="Arial" w:eastAsia="Arial" w:hAnsi="Arial" w:cs="Arial"/>
                      <w:color w:val="000000"/>
                      <w:sz w:val="16"/>
                    </w:rPr>
                    <w:t>36</w:t>
                  </w:r>
                  <w:r>
                    <w:rPr>
                      <w:rFonts w:ascii="Arial" w:eastAsia="Arial" w:hAnsi="Arial" w:cs="Arial"/>
                      <w:color w:val="000000"/>
                      <w:sz w:val="16"/>
                    </w:rPr>
                    <w:t>%</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1AD2E9B7" w14:textId="77777777" w:rsidR="00B6604C" w:rsidRDefault="00B6604C">
                  <w:pPr>
                    <w:autoSpaceDE w:val="0"/>
                    <w:autoSpaceDN w:val="0"/>
                    <w:jc w:val="both"/>
                    <w:rPr>
                      <w:rFonts w:ascii="Arial" w:eastAsia="Arial" w:hAnsi="Arial" w:cs="Arial"/>
                      <w:color w:val="000000"/>
                      <w:sz w:val="16"/>
                    </w:rPr>
                  </w:pPr>
                </w:p>
              </w:tc>
            </w:tr>
            <w:tr w:rsidR="00B6604C" w14:paraId="225ECC6D"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09C33F44" w14:textId="77777777" w:rsidR="00B6604C" w:rsidRDefault="00FD35AF">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B6604C" w14:paraId="476AFDB1"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29D53855" w14:textId="77777777" w:rsidR="00B6604C" w:rsidRDefault="00FD35AF">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73DEDA56" w14:textId="77777777" w:rsidR="00B6604C" w:rsidRDefault="00FD35AF">
                  <w:pPr>
                    <w:autoSpaceDE w:val="0"/>
                    <w:autoSpaceDN w:val="0"/>
                  </w:pPr>
                  <w:r>
                    <w:rPr>
                      <w:rFonts w:ascii="Arial" w:eastAsia="Arial" w:hAnsi="Arial" w:cs="Arial"/>
                      <w:color w:val="000000"/>
                      <w:sz w:val="16"/>
                    </w:rPr>
                    <w:t>0.00%</w:t>
                  </w:r>
                </w:p>
              </w:tc>
            </w:tr>
          </w:tbl>
          <w:p w14:paraId="6E93513B" w14:textId="77777777" w:rsidR="00B6604C" w:rsidRDefault="00B6604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B6604C" w14:paraId="30093A7B" w14:textId="77777777">
              <w:trPr>
                <w:trHeight w:hRule="exact" w:val="170"/>
              </w:trPr>
              <w:tc>
                <w:tcPr>
                  <w:tcW w:w="510" w:type="dxa"/>
                  <w:shd w:val="clear" w:color="auto" w:fill="auto"/>
                  <w:noWrap/>
                  <w:tcMar>
                    <w:left w:w="20" w:type="dxa"/>
                    <w:right w:w="20" w:type="dxa"/>
                  </w:tcMar>
                </w:tcPr>
                <w:p w14:paraId="24A02DC9" w14:textId="77777777" w:rsidR="00B6604C" w:rsidRDefault="00B6604C">
                  <w:pPr>
                    <w:autoSpaceDE w:val="0"/>
                    <w:autoSpaceDN w:val="0"/>
                    <w:rPr>
                      <w:rFonts w:ascii="Arial" w:eastAsia="Arial" w:hAnsi="Arial" w:cs="Arial"/>
                      <w:color w:val="000000"/>
                      <w:sz w:val="18"/>
                    </w:rPr>
                  </w:pPr>
                </w:p>
              </w:tc>
            </w:tr>
          </w:tbl>
          <w:p w14:paraId="6D155EF1" w14:textId="77777777" w:rsidR="00B6604C" w:rsidRDefault="00B6604C">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B6604C" w14:paraId="31A311C5" w14:textId="77777777">
              <w:tc>
                <w:tcPr>
                  <w:tcW w:w="5017" w:type="dxa"/>
                  <w:shd w:val="clear" w:color="auto" w:fill="auto"/>
                  <w:noWrap/>
                  <w:tcMar>
                    <w:left w:w="56" w:type="dxa"/>
                    <w:right w:w="56" w:type="dxa"/>
                  </w:tcMar>
                  <w:vAlign w:val="center"/>
                </w:tcPr>
                <w:p w14:paraId="67E830B8" w14:textId="77777777" w:rsidR="00B6604C" w:rsidRDefault="00FD35AF">
                  <w:pPr>
                    <w:keepLines/>
                    <w:autoSpaceDE w:val="0"/>
                    <w:autoSpaceDN w:val="0"/>
                    <w:jc w:val="both"/>
                  </w:pPr>
                  <w:r>
                    <w:rPr>
                      <w:rFonts w:ascii="Arial" w:eastAsia="Arial" w:hAnsi="Arial" w:cs="Arial"/>
                      <w:color w:val="000000"/>
                      <w:sz w:val="16"/>
                    </w:rPr>
                    <w:t>Exit and Entry charges shown are maximum figures. It is possible that you will pay substantially less, or there will be no charges at all.  You can find out the actual entry and exit charges from your financial advisor, the distributor or the Manager of the Fund.</w:t>
                  </w:r>
                </w:p>
                <w:p w14:paraId="51A1F5B5" w14:textId="77777777" w:rsidR="00B6604C" w:rsidRDefault="00FD35AF">
                  <w:pPr>
                    <w:keepLines/>
                    <w:autoSpaceDE w:val="0"/>
                    <w:autoSpaceDN w:val="0"/>
                    <w:jc w:val="both"/>
                  </w:pPr>
                  <w:r>
                    <w:rPr>
                      <w:rFonts w:ascii="Arial" w:eastAsia="Arial" w:hAnsi="Arial" w:cs="Arial"/>
                      <w:color w:val="000000"/>
                      <w:sz w:val="16"/>
                    </w:rPr>
                    <w:t> </w:t>
                  </w:r>
                </w:p>
                <w:p w14:paraId="4D5C0C0D" w14:textId="77777777" w:rsidR="00B6604C" w:rsidRDefault="00FD35AF">
                  <w:pPr>
                    <w:keepLines/>
                    <w:autoSpaceDE w:val="0"/>
                    <w:autoSpaceDN w:val="0"/>
                    <w:jc w:val="both"/>
                  </w:pPr>
                  <w:r>
                    <w:rPr>
                      <w:rFonts w:ascii="Arial" w:eastAsia="Arial" w:hAnsi="Arial" w:cs="Arial"/>
                      <w:color w:val="000000"/>
                      <w:sz w:val="16"/>
                    </w:rPr>
                    <w:t>While a switching charge of up to a maximum of 3% of the subscription price may apply, it is not currently intended that any such charge will be applied.</w:t>
                  </w:r>
                </w:p>
                <w:p w14:paraId="5F472CC2" w14:textId="3E9E7AD2" w:rsidR="00B6604C" w:rsidRDefault="00FD35AF">
                  <w:pPr>
                    <w:keepLines/>
                    <w:autoSpaceDE w:val="0"/>
                    <w:autoSpaceDN w:val="0"/>
                    <w:jc w:val="both"/>
                  </w:pPr>
                  <w:r>
                    <w:rPr>
                      <w:rFonts w:ascii="Arial" w:eastAsia="Arial" w:hAnsi="Arial" w:cs="Arial"/>
                      <w:color w:val="000000"/>
                      <w:sz w:val="16"/>
                    </w:rPr>
                    <w:t>The ongoing charges figure is based on the expenses of the year ending 31 December 202</w:t>
                  </w:r>
                  <w:r w:rsidR="008B3C09">
                    <w:rPr>
                      <w:rFonts w:ascii="Arial" w:eastAsia="Arial" w:hAnsi="Arial" w:cs="Arial"/>
                      <w:color w:val="000000"/>
                      <w:sz w:val="16"/>
                    </w:rPr>
                    <w:t>3</w:t>
                  </w:r>
                  <w:r>
                    <w:rPr>
                      <w:rFonts w:ascii="Arial" w:eastAsia="Arial" w:hAnsi="Arial" w:cs="Arial"/>
                      <w:color w:val="000000"/>
                      <w:sz w:val="16"/>
                    </w:rPr>
                    <w:t>. This figure may vary from year to year. It excludes portfolio transaction costs, except in the case of an entry or exit charge paid by the UCITS when buying or selling units in another UCITS or collective investment undertaking.</w:t>
                  </w:r>
                </w:p>
                <w:p w14:paraId="488CE6BE" w14:textId="77777777" w:rsidR="00B6604C" w:rsidRDefault="00FD35AF">
                  <w:pPr>
                    <w:keepLines/>
                    <w:autoSpaceDE w:val="0"/>
                    <w:autoSpaceDN w:val="0"/>
                    <w:jc w:val="both"/>
                  </w:pPr>
                  <w:r>
                    <w:rPr>
                      <w:rFonts w:ascii="Arial" w:eastAsia="Arial" w:hAnsi="Arial" w:cs="Arial"/>
                      <w:color w:val="000000"/>
                      <w:sz w:val="16"/>
                    </w:rPr>
                    <w:t> </w:t>
                  </w:r>
                </w:p>
                <w:p w14:paraId="607CDFD0" w14:textId="77777777" w:rsidR="00B6604C" w:rsidRDefault="00FD35AF">
                  <w:pPr>
                    <w:keepLines/>
                    <w:autoSpaceDE w:val="0"/>
                    <w:autoSpaceDN w:val="0"/>
                    <w:jc w:val="both"/>
                  </w:pPr>
                  <w:r>
                    <w:rPr>
                      <w:rFonts w:ascii="Arial" w:eastAsia="Arial" w:hAnsi="Arial" w:cs="Arial"/>
                      <w:color w:val="000000"/>
                      <w:sz w:val="16"/>
                    </w:rPr>
                    <w:t>You can find more details about the charges in the section of the Fund's Prospectus entitled Fees and Expenses.</w:t>
                  </w:r>
                </w:p>
              </w:tc>
            </w:tr>
          </w:tbl>
          <w:p w14:paraId="57ED78EC" w14:textId="77777777" w:rsidR="00B6604C" w:rsidRDefault="00B6604C">
            <w:pPr>
              <w:keepNext/>
              <w:autoSpaceDE w:val="0"/>
              <w:autoSpaceDN w:val="0"/>
              <w:rPr>
                <w:vanish/>
                <w:sz w:val="2"/>
                <w:szCs w:val="2"/>
              </w:rPr>
            </w:pPr>
          </w:p>
        </w:tc>
      </w:tr>
    </w:tbl>
    <w:p w14:paraId="0A1506F6"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42670BAA" w14:textId="77777777">
        <w:tc>
          <w:tcPr>
            <w:tcW w:w="10544" w:type="dxa"/>
            <w:shd w:val="clear" w:color="auto" w:fill="auto"/>
            <w:noWrap/>
            <w:tcMar>
              <w:left w:w="56" w:type="dxa"/>
              <w:right w:w="56" w:type="dxa"/>
            </w:tcMar>
            <w:vAlign w:val="center"/>
          </w:tcPr>
          <w:p w14:paraId="63B8C4E9" w14:textId="77777777" w:rsidR="00B6604C" w:rsidRDefault="00FD35AF">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06375D9D" w14:textId="77777777" w:rsidR="00B6604C" w:rsidRDefault="00B6604C">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B6604C" w14:paraId="7ED529ED" w14:textId="77777777">
        <w:trPr>
          <w:trHeight w:hRule="exact" w:val="283"/>
        </w:trPr>
        <w:tc>
          <w:tcPr>
            <w:tcW w:w="10544" w:type="dxa"/>
            <w:shd w:val="clear" w:color="auto" w:fill="auto"/>
            <w:noWrap/>
            <w:tcMar>
              <w:left w:w="20" w:type="dxa"/>
              <w:right w:w="20" w:type="dxa"/>
            </w:tcMar>
          </w:tcPr>
          <w:p w14:paraId="150F163F" w14:textId="77777777" w:rsidR="00B6604C" w:rsidRDefault="00B6604C">
            <w:pPr>
              <w:autoSpaceDE w:val="0"/>
              <w:autoSpaceDN w:val="0"/>
              <w:rPr>
                <w:rFonts w:ascii="Arial" w:eastAsia="Arial" w:hAnsi="Arial" w:cs="Arial"/>
                <w:color w:val="000000"/>
                <w:sz w:val="18"/>
              </w:rPr>
            </w:pPr>
          </w:p>
        </w:tc>
      </w:tr>
    </w:tbl>
    <w:p w14:paraId="52B66E65"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4EF513C4"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BB5F7ED" w14:textId="77777777" w:rsidR="00B6604C" w:rsidRDefault="00FD35AF">
            <w:pPr>
              <w:keepNext/>
              <w:autoSpaceDE w:val="0"/>
              <w:autoSpaceDN w:val="0"/>
            </w:pPr>
            <w:r>
              <w:rPr>
                <w:rFonts w:ascii="Arial" w:eastAsia="Arial" w:hAnsi="Arial" w:cs="Arial"/>
                <w:b/>
                <w:color w:val="000000"/>
                <w:sz w:val="18"/>
              </w:rPr>
              <w:t>Past Performance</w:t>
            </w:r>
          </w:p>
        </w:tc>
      </w:tr>
      <w:tr w:rsidR="00B6604C" w14:paraId="59C3C6DB" w14:textId="77777777">
        <w:trPr>
          <w:trHeight w:hRule="exact" w:val="226"/>
        </w:trPr>
        <w:tc>
          <w:tcPr>
            <w:tcW w:w="10544" w:type="dxa"/>
            <w:shd w:val="clear" w:color="auto" w:fill="auto"/>
            <w:noWrap/>
            <w:tcMar>
              <w:left w:w="20" w:type="dxa"/>
              <w:right w:w="20" w:type="dxa"/>
            </w:tcMar>
          </w:tcPr>
          <w:p w14:paraId="2B0429C9" w14:textId="757CF5CA" w:rsidR="00B6604C" w:rsidRDefault="00FB3220">
            <w:pPr>
              <w:autoSpaceDE w:val="0"/>
              <w:autoSpaceDN w:val="0"/>
              <w:rPr>
                <w:rFonts w:ascii="Arial" w:eastAsia="Arial" w:hAnsi="Arial" w:cs="Arial"/>
                <w:color w:val="000000"/>
                <w:sz w:val="18"/>
              </w:rPr>
            </w:pPr>
            <w:r w:rsidRPr="0063468E">
              <w:rPr>
                <w:noProof/>
              </w:rPr>
              <w:drawing>
                <wp:anchor distT="0" distB="0" distL="114300" distR="114300" simplePos="0" relativeHeight="251659776" behindDoc="0" locked="0" layoutInCell="1" allowOverlap="1" wp14:anchorId="642EA7B0" wp14:editId="0DA9B1CF">
                  <wp:simplePos x="0" y="0"/>
                  <wp:positionH relativeFrom="column">
                    <wp:posOffset>-12700</wp:posOffset>
                  </wp:positionH>
                  <wp:positionV relativeFrom="paragraph">
                    <wp:posOffset>44450</wp:posOffset>
                  </wp:positionV>
                  <wp:extent cx="3171825" cy="2228850"/>
                  <wp:effectExtent l="0" t="0" r="9525" b="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bl>
    <w:p w14:paraId="46B09A4C" w14:textId="77777777" w:rsidR="00B6604C" w:rsidRDefault="00B6604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B6604C" w14:paraId="1A94A0B6" w14:textId="77777777">
        <w:trPr>
          <w:cantSplit/>
        </w:trPr>
        <w:tc>
          <w:tcPr>
            <w:tcW w:w="5017" w:type="dxa"/>
          </w:tcPr>
          <w:p w14:paraId="001C2E2E" w14:textId="1B3581D5" w:rsidR="00B6604C" w:rsidRDefault="00B6604C">
            <w:pPr>
              <w:autoSpaceDE w:val="0"/>
              <w:autoSpaceDN w:val="0"/>
            </w:pPr>
          </w:p>
          <w:p w14:paraId="542442A6" w14:textId="057F08B0" w:rsidR="00B6604C" w:rsidRDefault="00B6604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B6604C" w14:paraId="2383BBCA" w14:textId="77777777">
              <w:trPr>
                <w:trHeight w:hRule="exact" w:val="170"/>
              </w:trPr>
              <w:tc>
                <w:tcPr>
                  <w:tcW w:w="510" w:type="dxa"/>
                  <w:shd w:val="clear" w:color="auto" w:fill="auto"/>
                  <w:noWrap/>
                  <w:tcMar>
                    <w:left w:w="20" w:type="dxa"/>
                    <w:right w:w="20" w:type="dxa"/>
                  </w:tcMar>
                </w:tcPr>
                <w:p w14:paraId="0E1DAD08" w14:textId="77777777" w:rsidR="00B6604C" w:rsidRDefault="00B6604C">
                  <w:pPr>
                    <w:autoSpaceDE w:val="0"/>
                    <w:autoSpaceDN w:val="0"/>
                    <w:rPr>
                      <w:rFonts w:ascii="Arial" w:eastAsia="Arial" w:hAnsi="Arial" w:cs="Arial"/>
                      <w:color w:val="000000"/>
                      <w:sz w:val="18"/>
                    </w:rPr>
                  </w:pPr>
                </w:p>
              </w:tc>
            </w:tr>
          </w:tbl>
          <w:p w14:paraId="0FC7EA7C" w14:textId="77777777" w:rsidR="00B6604C" w:rsidRDefault="00B6604C">
            <w:pPr>
              <w:keepNext/>
              <w:autoSpaceDE w:val="0"/>
              <w:autoSpaceDN w:val="0"/>
              <w:rPr>
                <w:vanish/>
                <w:sz w:val="2"/>
                <w:szCs w:val="2"/>
              </w:rPr>
            </w:pPr>
          </w:p>
        </w:tc>
        <w:tc>
          <w:tcPr>
            <w:tcW w:w="5017" w:type="dxa"/>
          </w:tcPr>
          <w:p w14:paraId="037B5012"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2CBB7EC8" w14:textId="77777777" w:rsidR="00B6604C" w:rsidRDefault="00B6604C">
            <w:pPr>
              <w:keepLines/>
              <w:autoSpaceDE w:val="0"/>
              <w:autoSpaceDN w:val="0"/>
              <w:spacing w:after="60"/>
              <w:jc w:val="both"/>
              <w:rPr>
                <w:rFonts w:ascii="Arial" w:eastAsia="Arial" w:hAnsi="Arial" w:cs="Arial"/>
                <w:color w:val="000000"/>
                <w:sz w:val="16"/>
                <w:szCs w:val="16"/>
              </w:rPr>
            </w:pPr>
          </w:p>
          <w:p w14:paraId="2FFB99FF"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2017 and this share class was launched in 2018.</w:t>
            </w:r>
          </w:p>
          <w:p w14:paraId="624F8F38"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21365167" w14:textId="77777777" w:rsidR="00B6604C" w:rsidRDefault="00B6604C">
            <w:pPr>
              <w:keepLines/>
              <w:autoSpaceDE w:val="0"/>
              <w:autoSpaceDN w:val="0"/>
              <w:spacing w:after="60"/>
              <w:jc w:val="both"/>
              <w:rPr>
                <w:rFonts w:ascii="Arial" w:eastAsia="Arial" w:hAnsi="Arial" w:cs="Arial"/>
                <w:color w:val="000000"/>
                <w:sz w:val="16"/>
                <w:szCs w:val="16"/>
              </w:rPr>
            </w:pPr>
          </w:p>
          <w:p w14:paraId="3BDDB223" w14:textId="76DB86AA"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5ECA0F9B" w14:textId="7F9A1E03" w:rsidR="00FB3220" w:rsidRDefault="00FB3220">
            <w:pPr>
              <w:keepLines/>
              <w:autoSpaceDE w:val="0"/>
              <w:autoSpaceDN w:val="0"/>
              <w:spacing w:after="60"/>
              <w:jc w:val="both"/>
              <w:rPr>
                <w:rFonts w:ascii="Arial" w:eastAsia="Arial" w:hAnsi="Arial" w:cs="Arial"/>
                <w:color w:val="000000"/>
                <w:sz w:val="16"/>
                <w:szCs w:val="16"/>
              </w:rPr>
            </w:pPr>
          </w:p>
          <w:p w14:paraId="567E59E4" w14:textId="484B62F5" w:rsidR="00FB3220" w:rsidRDefault="00FB3220">
            <w:pPr>
              <w:keepLines/>
              <w:autoSpaceDE w:val="0"/>
              <w:autoSpaceDN w:val="0"/>
              <w:spacing w:after="60"/>
              <w:jc w:val="both"/>
              <w:rPr>
                <w:rFonts w:ascii="Arial" w:eastAsia="Arial" w:hAnsi="Arial" w:cs="Arial"/>
                <w:color w:val="000000"/>
                <w:sz w:val="16"/>
                <w:szCs w:val="16"/>
              </w:rPr>
            </w:pPr>
          </w:p>
          <w:p w14:paraId="0F2036C3" w14:textId="77777777" w:rsidR="00FB3220" w:rsidRDefault="00FB3220">
            <w:pPr>
              <w:keepLines/>
              <w:autoSpaceDE w:val="0"/>
              <w:autoSpaceDN w:val="0"/>
              <w:spacing w:after="60"/>
              <w:jc w:val="both"/>
              <w:rPr>
                <w:rFonts w:ascii="Arial" w:eastAsia="Arial" w:hAnsi="Arial" w:cs="Arial"/>
                <w:color w:val="000000"/>
                <w:sz w:val="16"/>
                <w:szCs w:val="16"/>
              </w:rPr>
            </w:pPr>
          </w:p>
          <w:p w14:paraId="4307BAC3" w14:textId="77777777" w:rsidR="00B6604C" w:rsidRDefault="00B6604C">
            <w:pPr>
              <w:keepNext/>
              <w:autoSpaceDE w:val="0"/>
              <w:autoSpaceDN w:val="0"/>
              <w:rPr>
                <w:vanish/>
                <w:sz w:val="2"/>
                <w:szCs w:val="2"/>
              </w:rPr>
            </w:pPr>
          </w:p>
        </w:tc>
      </w:tr>
    </w:tbl>
    <w:p w14:paraId="52E61FBC" w14:textId="77777777" w:rsidR="00B6604C" w:rsidRDefault="00B6604C">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B6604C" w14:paraId="3059C841" w14:textId="77777777">
        <w:trPr>
          <w:trHeight w:hRule="exact" w:val="283"/>
        </w:trPr>
        <w:tc>
          <w:tcPr>
            <w:tcW w:w="10544" w:type="dxa"/>
            <w:shd w:val="clear" w:color="auto" w:fill="auto"/>
            <w:noWrap/>
            <w:tcMar>
              <w:left w:w="20" w:type="dxa"/>
              <w:right w:w="20" w:type="dxa"/>
            </w:tcMar>
          </w:tcPr>
          <w:p w14:paraId="615C6349" w14:textId="77777777" w:rsidR="00B6604C" w:rsidRDefault="00B6604C">
            <w:pPr>
              <w:autoSpaceDE w:val="0"/>
              <w:autoSpaceDN w:val="0"/>
              <w:rPr>
                <w:rFonts w:ascii="Arial" w:eastAsia="Arial" w:hAnsi="Arial" w:cs="Arial"/>
                <w:color w:val="000000"/>
                <w:sz w:val="18"/>
              </w:rPr>
            </w:pPr>
          </w:p>
        </w:tc>
      </w:tr>
    </w:tbl>
    <w:p w14:paraId="7F642C31"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453EB520"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4100580D" w14:textId="77777777" w:rsidR="00B6604C" w:rsidRDefault="00FD35AF">
            <w:pPr>
              <w:keepNext/>
              <w:autoSpaceDE w:val="0"/>
              <w:autoSpaceDN w:val="0"/>
            </w:pPr>
            <w:r>
              <w:rPr>
                <w:rFonts w:ascii="Arial" w:eastAsia="Arial" w:hAnsi="Arial" w:cs="Arial"/>
                <w:b/>
                <w:color w:val="000000"/>
                <w:sz w:val="18"/>
              </w:rPr>
              <w:t>Practical Information</w:t>
            </w:r>
          </w:p>
        </w:tc>
      </w:tr>
      <w:tr w:rsidR="00B6604C" w14:paraId="4601FC76" w14:textId="77777777">
        <w:trPr>
          <w:trHeight w:hRule="exact" w:val="226"/>
        </w:trPr>
        <w:tc>
          <w:tcPr>
            <w:tcW w:w="10544" w:type="dxa"/>
            <w:shd w:val="clear" w:color="auto" w:fill="auto"/>
            <w:noWrap/>
            <w:tcMar>
              <w:left w:w="20" w:type="dxa"/>
              <w:right w:w="20" w:type="dxa"/>
            </w:tcMar>
          </w:tcPr>
          <w:p w14:paraId="11B774A1" w14:textId="77777777" w:rsidR="00B6604C" w:rsidRDefault="00B6604C">
            <w:pPr>
              <w:autoSpaceDE w:val="0"/>
              <w:autoSpaceDN w:val="0"/>
              <w:rPr>
                <w:rFonts w:ascii="Arial" w:eastAsia="Arial" w:hAnsi="Arial" w:cs="Arial"/>
                <w:color w:val="000000"/>
                <w:sz w:val="18"/>
              </w:rPr>
            </w:pPr>
          </w:p>
        </w:tc>
      </w:tr>
    </w:tbl>
    <w:p w14:paraId="553F08A4" w14:textId="77777777" w:rsidR="00B6604C" w:rsidRDefault="00B6604C">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B6604C" w14:paraId="4411AEF2" w14:textId="77777777">
        <w:tc>
          <w:tcPr>
            <w:tcW w:w="4989" w:type="dxa"/>
            <w:shd w:val="clear" w:color="auto" w:fill="auto"/>
            <w:noWrap/>
            <w:tcMar>
              <w:left w:w="56" w:type="dxa"/>
              <w:right w:w="56" w:type="dxa"/>
            </w:tcMar>
          </w:tcPr>
          <w:p w14:paraId="6E3B6A3F" w14:textId="0364B475" w:rsidR="00B6604C" w:rsidRDefault="00FD35AF">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Osmosis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w:t>
            </w:r>
            <w:r w:rsidR="0069372D">
              <w:rPr>
                <w:rFonts w:ascii="Arial" w:eastAsia="Arial" w:hAnsi="Arial" w:cs="Arial"/>
                <w:color w:val="000000"/>
                <w:sz w:val="16"/>
              </w:rPr>
              <w:t>GBP</w:t>
            </w:r>
            <w:r>
              <w:rPr>
                <w:rFonts w:ascii="Arial" w:eastAsia="Arial" w:hAnsi="Arial" w:cs="Arial"/>
                <w:color w:val="000000"/>
                <w:sz w:val="16"/>
              </w:rPr>
              <w:t xml:space="preserve">. The unit prices are published in </w:t>
            </w:r>
            <w:r w:rsidR="0069372D">
              <w:rPr>
                <w:rFonts w:ascii="Arial" w:eastAsia="Arial" w:hAnsi="Arial" w:cs="Arial"/>
                <w:color w:val="000000"/>
                <w:sz w:val="16"/>
              </w:rPr>
              <w:t>GBP</w:t>
            </w:r>
            <w:r>
              <w:rPr>
                <w:rFonts w:ascii="Arial" w:eastAsia="Arial" w:hAnsi="Arial" w:cs="Arial"/>
                <w:color w:val="000000"/>
                <w:sz w:val="16"/>
              </w:rPr>
              <w:t xml:space="preserve">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7867D796" w14:textId="77777777" w:rsidR="00B6604C" w:rsidRDefault="00B6604C">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42C69A7D" w14:textId="77777777" w:rsidR="00B6604C" w:rsidRDefault="00FD35AF">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Osmosis Resource Efficient Core Equity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58219722" w14:textId="77777777" w:rsidR="00B6604C" w:rsidRDefault="00FD35AF">
            <w:pPr>
              <w:keepNext/>
              <w:keepLines/>
              <w:autoSpaceDE w:val="0"/>
              <w:autoSpaceDN w:val="0"/>
              <w:jc w:val="both"/>
            </w:pPr>
            <w:r>
              <w:rPr>
                <w:rFonts w:ascii="Arial" w:eastAsia="Arial" w:hAnsi="Arial" w:cs="Arial"/>
                <w:color w:val="000000"/>
                <w:sz w:val="16"/>
              </w:rPr>
              <w:t> </w:t>
            </w:r>
          </w:p>
          <w:p w14:paraId="1BAFD882" w14:textId="77777777" w:rsidR="00B6604C" w:rsidRDefault="00FD35AF">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B6604C" w14:paraId="1650D42E" w14:textId="77777777">
        <w:trPr>
          <w:trHeight w:hRule="exact" w:val="226"/>
        </w:trPr>
        <w:tc>
          <w:tcPr>
            <w:tcW w:w="10488" w:type="dxa"/>
            <w:gridSpan w:val="3"/>
            <w:shd w:val="clear" w:color="auto" w:fill="auto"/>
            <w:noWrap/>
            <w:tcMar>
              <w:left w:w="56" w:type="dxa"/>
              <w:right w:w="56" w:type="dxa"/>
            </w:tcMar>
            <w:vAlign w:val="center"/>
          </w:tcPr>
          <w:p w14:paraId="75714AD5" w14:textId="77777777" w:rsidR="00B6604C" w:rsidRDefault="00B6604C">
            <w:pPr>
              <w:keepNext/>
              <w:autoSpaceDE w:val="0"/>
              <w:autoSpaceDN w:val="0"/>
              <w:jc w:val="both"/>
              <w:rPr>
                <w:rFonts w:ascii="Arial" w:eastAsia="Arial" w:hAnsi="Arial" w:cs="Arial"/>
                <w:color w:val="000000"/>
                <w:sz w:val="16"/>
              </w:rPr>
            </w:pPr>
          </w:p>
        </w:tc>
      </w:tr>
      <w:tr w:rsidR="00B6604C" w14:paraId="64AEA33E" w14:textId="77777777">
        <w:tc>
          <w:tcPr>
            <w:tcW w:w="10488" w:type="dxa"/>
            <w:gridSpan w:val="3"/>
            <w:shd w:val="clear" w:color="auto" w:fill="auto"/>
            <w:noWrap/>
            <w:tcMar>
              <w:left w:w="56" w:type="dxa"/>
              <w:right w:w="56" w:type="dxa"/>
            </w:tcMar>
            <w:vAlign w:val="center"/>
          </w:tcPr>
          <w:p w14:paraId="35E8937F" w14:textId="00010C16" w:rsidR="00B6604C" w:rsidRDefault="00FD35AF">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p>
          <w:p w14:paraId="366F3E1D" w14:textId="002AAA96" w:rsidR="00B6604C" w:rsidRPr="008B3C09" w:rsidRDefault="00FD35AF">
            <w:pPr>
              <w:keepLines/>
              <w:autoSpaceDE w:val="0"/>
              <w:autoSpaceDN w:val="0"/>
              <w:rPr>
                <w:rFonts w:ascii="Arial" w:eastAsia="Arial" w:hAnsi="Arial" w:cs="Arial"/>
                <w:color w:val="000000"/>
                <w:sz w:val="16"/>
              </w:rPr>
            </w:pPr>
            <w:r>
              <w:rPr>
                <w:rFonts w:ascii="Arial" w:eastAsia="Arial" w:hAnsi="Arial" w:cs="Arial"/>
                <w:color w:val="000000"/>
                <w:sz w:val="16"/>
              </w:rPr>
              <w:t>This Key Information Document is accurate as at</w:t>
            </w:r>
            <w:r w:rsidR="008B3C09">
              <w:rPr>
                <w:rFonts w:ascii="Arial" w:eastAsia="Arial" w:hAnsi="Arial" w:cs="Arial"/>
                <w:color w:val="000000"/>
                <w:sz w:val="16"/>
              </w:rPr>
              <w:t xml:space="preserve"> 08</w:t>
            </w:r>
            <w:r w:rsidR="00FB3220">
              <w:rPr>
                <w:rFonts w:ascii="Arial" w:eastAsia="Arial" w:hAnsi="Arial" w:cs="Arial"/>
                <w:color w:val="000000"/>
                <w:sz w:val="16"/>
              </w:rPr>
              <w:t xml:space="preserve"> February 202</w:t>
            </w:r>
            <w:r w:rsidR="008B3C09">
              <w:rPr>
                <w:rFonts w:ascii="Arial" w:eastAsia="Arial" w:hAnsi="Arial" w:cs="Arial"/>
                <w:color w:val="000000"/>
                <w:sz w:val="16"/>
              </w:rPr>
              <w:t>4</w:t>
            </w:r>
            <w:r w:rsidR="00FB3220">
              <w:rPr>
                <w:rFonts w:ascii="Arial" w:eastAsia="Arial" w:hAnsi="Arial" w:cs="Arial"/>
                <w:color w:val="000000"/>
                <w:sz w:val="16"/>
              </w:rPr>
              <w:t>.</w:t>
            </w:r>
          </w:p>
        </w:tc>
      </w:tr>
    </w:tbl>
    <w:p w14:paraId="1AB97105" w14:textId="77777777" w:rsidR="00B6604C" w:rsidRDefault="00B6604C">
      <w:pPr>
        <w:autoSpaceDE w:val="0"/>
        <w:autoSpaceDN w:val="0"/>
        <w:rPr>
          <w:sz w:val="2"/>
          <w:szCs w:val="2"/>
        </w:rPr>
      </w:pPr>
    </w:p>
    <w:sectPr w:rsidR="00B6604C">
      <w:headerReference w:type="default" r:id="rId12"/>
      <w:footerReference w:type="default" r:id="rId13"/>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FE7A" w14:textId="77777777" w:rsidR="008B5908" w:rsidRDefault="00FD35AF">
      <w:r>
        <w:separator/>
      </w:r>
    </w:p>
  </w:endnote>
  <w:endnote w:type="continuationSeparator" w:id="0">
    <w:p w14:paraId="73222BA1" w14:textId="77777777" w:rsidR="008B5908" w:rsidRDefault="00FD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4908" w14:textId="77777777" w:rsidR="00B6604C" w:rsidRDefault="00B6604C">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777D" w14:textId="77777777" w:rsidR="00B6604C" w:rsidRDefault="00B6604C">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5E11" w14:textId="77777777" w:rsidR="00B6604C" w:rsidRDefault="00B6604C">
      <w:pPr>
        <w:pStyle w:val="Footer"/>
        <w:autoSpaceDE w:val="0"/>
        <w:autoSpaceDN w:val="0"/>
      </w:pPr>
    </w:p>
  </w:footnote>
  <w:footnote w:type="continuationSeparator" w:id="0">
    <w:p w14:paraId="0E8895D1" w14:textId="77777777" w:rsidR="00B6604C" w:rsidRDefault="00FD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E06D" w14:textId="77777777" w:rsidR="00B6604C" w:rsidRDefault="00B6604C">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DDA8" w14:textId="77777777" w:rsidR="00B6604C" w:rsidRDefault="00B6604C">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919E9"/>
    <w:multiLevelType w:val="multilevel"/>
    <w:tmpl w:val="8CDA1B62"/>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00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B6604C"/>
    <w:rsid w:val="00466434"/>
    <w:rsid w:val="0069372D"/>
    <w:rsid w:val="008B3C09"/>
    <w:rsid w:val="008B5908"/>
    <w:rsid w:val="00B6604C"/>
    <w:rsid w:val="00FB3220"/>
    <w:rsid w:val="00FD35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CB47"/>
  <w15:docId w15:val="{1C15637D-1591-4231-BED2-024328A2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Data!$A$2:$A$6</c:f>
              <c:strCache>
                <c:ptCount val="5"/>
                <c:pt idx="0">
                  <c:v>2019</c:v>
                </c:pt>
                <c:pt idx="1">
                  <c:v>2020</c:v>
                </c:pt>
                <c:pt idx="2">
                  <c:v>2021</c:v>
                </c:pt>
                <c:pt idx="3">
                  <c:v>2022</c:v>
                </c:pt>
                <c:pt idx="4">
                  <c:v>2023</c:v>
                </c:pt>
              </c:strCache>
            </c:strRef>
          </c:cat>
          <c:val>
            <c:numRef>
              <c:f>Data!$B$2:$B$6</c:f>
              <c:numCache>
                <c:formatCode>General</c:formatCode>
                <c:ptCount val="5"/>
                <c:pt idx="0">
                  <c:v>28.863455000599</c:v>
                </c:pt>
                <c:pt idx="1">
                  <c:v>4.5</c:v>
                </c:pt>
                <c:pt idx="2">
                  <c:v>24.8</c:v>
                </c:pt>
                <c:pt idx="3">
                  <c:v>-17.509089844742</c:v>
                </c:pt>
                <c:pt idx="4">
                  <c:v>15.82</c:v>
                </c:pt>
              </c:numCache>
            </c:numRef>
          </c:val>
          <c:extLst>
            <c:ext xmlns:c16="http://schemas.microsoft.com/office/drawing/2014/chart" uri="{C3380CC4-5D6E-409C-BE32-E72D297353CC}">
              <c16:uniqueId val="{00000000-3E50-4FF8-9D23-313134DC1970}"/>
            </c:ext>
          </c:extLst>
        </c:ser>
        <c:ser>
          <c:idx val="1"/>
          <c:order val="1"/>
          <c:tx>
            <c:strRef>
              <c:f>Data!$C$1</c:f>
              <c:strCache>
                <c:ptCount val="1"/>
                <c:pt idx="0">
                  <c:v>MSCI World Index</c:v>
                </c:pt>
              </c:strCache>
            </c:strRef>
          </c:tx>
          <c:spPr>
            <a:solidFill>
              <a:srgbClr val="B3B3B3"/>
            </a:solidFill>
            <a:ln>
              <a:noFill/>
            </a:ln>
          </c:spPr>
          <c:invertIfNegative val="0"/>
          <c:cat>
            <c:strRef>
              <c:f>Data!$A$2:$A$6</c:f>
              <c:strCache>
                <c:ptCount val="5"/>
                <c:pt idx="0">
                  <c:v>2019</c:v>
                </c:pt>
                <c:pt idx="1">
                  <c:v>2020</c:v>
                </c:pt>
                <c:pt idx="2">
                  <c:v>2021</c:v>
                </c:pt>
                <c:pt idx="3">
                  <c:v>2022</c:v>
                </c:pt>
                <c:pt idx="4">
                  <c:v>2023</c:v>
                </c:pt>
              </c:strCache>
            </c:strRef>
          </c:cat>
          <c:val>
            <c:numRef>
              <c:f>Data!$C$2:$C$6</c:f>
              <c:numCache>
                <c:formatCode>General</c:formatCode>
                <c:ptCount val="5"/>
                <c:pt idx="0">
                  <c:v>25.190827538617999</c:v>
                </c:pt>
                <c:pt idx="1">
                  <c:v>14.058690591782</c:v>
                </c:pt>
                <c:pt idx="2">
                  <c:v>20.136875288098999</c:v>
                </c:pt>
                <c:pt idx="3">
                  <c:v>-19.464652059422999</c:v>
                </c:pt>
                <c:pt idx="4">
                  <c:v>23.89</c:v>
                </c:pt>
              </c:numCache>
            </c:numRef>
          </c:val>
          <c:extLst>
            <c:ext xmlns:c16="http://schemas.microsoft.com/office/drawing/2014/chart" uri="{C3380CC4-5D6E-409C-BE32-E72D297353CC}">
              <c16:uniqueId val="{00000001-3E50-4FF8-9D23-313134DC1970}"/>
            </c:ext>
          </c:extLst>
        </c:ser>
        <c:dLbls>
          <c:showLegendKey val="0"/>
          <c:showVal val="0"/>
          <c:showCatName val="0"/>
          <c:showSerName val="0"/>
          <c:showPercent val="0"/>
          <c:showBubbleSize val="0"/>
        </c:dLbls>
        <c:gapWidth val="150"/>
        <c:axId val="186800712"/>
        <c:axId val="1"/>
      </c:barChart>
      <c:catAx>
        <c:axId val="186800712"/>
        <c:scaling>
          <c:orientation val="minMax"/>
        </c:scaling>
        <c:delete val="0"/>
        <c:axPos val="b"/>
        <c:numFmt formatCode="[$-409]General" sourceLinked="0"/>
        <c:majorTickMark val="out"/>
        <c:minorTickMark val="none"/>
        <c:tickLblPos val="low"/>
        <c:spPr>
          <a:ln w="12699">
            <a:solidFill>
              <a:srgbClr val="D3D3D3"/>
            </a:solidFill>
            <a:prstDash val="solid"/>
          </a:ln>
        </c:spPr>
        <c:txPr>
          <a:bodyPr rot="0"/>
          <a:lstStyle/>
          <a:p>
            <a:pPr>
              <a:defRPr sz="600" b="0" i="0" u="none" strike="noStrike" baseline="0">
                <a:solidFill>
                  <a:srgbClr val="000000"/>
                </a:solidFill>
                <a:latin typeface="Arial"/>
                <a:ea typeface="Arial"/>
              </a:defRPr>
            </a:pPr>
            <a:endParaRPr lang="en-US"/>
          </a:p>
        </c:txPr>
        <c:crossAx val="1"/>
        <c:crosses val="autoZero"/>
        <c:auto val="0"/>
        <c:lblAlgn val="ctr"/>
        <c:lblOffset val="100"/>
        <c:tickLblSkip val="1"/>
        <c:noMultiLvlLbl val="1"/>
      </c:catAx>
      <c:valAx>
        <c:axId val="1"/>
        <c:scaling>
          <c:orientation val="minMax"/>
          <c:max val="38.863455000599004"/>
          <c:min val="-20"/>
        </c:scaling>
        <c:delete val="0"/>
        <c:axPos val="l"/>
        <c:majorGridlines>
          <c:spPr>
            <a:ln w="12699">
              <a:solidFill>
                <a:srgbClr val="D3D3D3"/>
              </a:solidFill>
              <a:prstDash val="solid"/>
            </a:ln>
          </c:spPr>
        </c:majorGridlines>
        <c:title>
          <c:tx>
            <c:rich>
              <a:bodyPr/>
              <a:lstStyle/>
              <a:p>
                <a:pPr>
                  <a:defRPr sz="600" b="0" i="0" u="none" strike="noStrike" baseline="0">
                    <a:solidFill>
                      <a:srgbClr val="000000"/>
                    </a:solidFill>
                    <a:latin typeface="Arial"/>
                    <a:ea typeface="Arial"/>
                    <a:cs typeface="Arial"/>
                  </a:defRPr>
                </a:pPr>
                <a:r>
                  <a:rPr lang="en-IE"/>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ea typeface="Arial"/>
              </a:defRPr>
            </a:pPr>
            <a:endParaRPr lang="en-US"/>
          </a:p>
        </c:txPr>
        <c:crossAx val="186800712"/>
        <c:crosses val="autoZero"/>
        <c:crossBetween val="between"/>
        <c:majorUnit val="10"/>
        <c:minorUnit val="2"/>
      </c:valAx>
      <c:spPr>
        <a:noFill/>
        <a:ln w="25399">
          <a:noFill/>
        </a:ln>
      </c:spPr>
    </c:plotArea>
    <c:legend>
      <c:legendPos val="b"/>
      <c:overlay val="1"/>
      <c:spPr>
        <a:noFill/>
        <a:ln>
          <a:noFill/>
        </a:ln>
      </c:spPr>
      <c:txPr>
        <a:bodyPr/>
        <a:lstStyle/>
        <a:p>
          <a:pPr>
            <a:defRPr sz="600" b="0" i="0" u="none" strike="noStrike" baseline="0">
              <a:solidFill>
                <a:srgbClr val="000000"/>
              </a:solidFill>
              <a:latin typeface="Arial"/>
              <a:ea typeface="Arial"/>
            </a:defRPr>
          </a:pPr>
          <a:endParaRPr lang="en-US"/>
        </a:p>
      </c:txPr>
    </c:legend>
    <c:plotVisOnly val="1"/>
    <c:dispBlanksAs val="gap"/>
    <c:showDLblsOverMax val="1"/>
  </c:chart>
  <c:spPr>
    <a:noFill/>
    <a:ln w="12699">
      <a:solidFill>
        <a:srgbClr val="868686"/>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0.34828</cdr:x>
      <cdr:y>0.02226</cdr:y>
    </cdr:from>
    <cdr:to>
      <cdr:x>0.69426</cdr:x>
      <cdr:y>0.0637</cdr:y>
    </cdr:to>
    <cdr:sp macro="" textlink="">
      <cdr:nvSpPr>
        <cdr:cNvPr id="2" name="TextBox 1"/>
        <cdr:cNvSpPr txBox="1"/>
      </cdr:nvSpPr>
      <cdr:spPr>
        <a:xfrm xmlns:a="http://schemas.openxmlformats.org/drawingml/2006/main">
          <a:off x="1071497" y="47494"/>
          <a:ext cx="1064459" cy="88422"/>
        </a:xfrm>
        <a:prstGeom xmlns:a="http://schemas.openxmlformats.org/drawingml/2006/main" prst="rect">
          <a:avLst/>
        </a:prstGeom>
      </cdr:spPr>
      <cdr:txBody>
        <a:bodyPr xmlns:a="http://schemas.openxmlformats.org/drawingml/2006/main" wrap="none" lIns="0" tIns="0" rIns="0" bIns="0">
          <a:spAutoFit/>
        </a:bodyPr>
        <a:lstStyle xmlns:a="http://schemas.openxmlformats.org/drawingml/2006/main"/>
        <a:p xmlns:a="http://schemas.openxmlformats.org/drawingml/2006/main">
          <a:pPr algn="ctr">
            <a:defRPr sz="600" b="0" i="0" u="none" strike="noStrike" baseline="0">
              <a:solidFill>
                <a:srgbClr val="000000"/>
              </a:solidFill>
              <a:latin typeface="Arial"/>
              <a:ea typeface="Arial"/>
            </a:defRPr>
          </a:pPr>
          <a:r>
            <a:t>Osmosis Efficient Core Eq - D1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5</cp:revision>
  <dcterms:created xsi:type="dcterms:W3CDTF">2022-02-23T16:05:00Z</dcterms:created>
  <dcterms:modified xsi:type="dcterms:W3CDTF">2024-02-08T13:40:00Z</dcterms:modified>
</cp:coreProperties>
</file>